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2025-311</w:t>
      </w:r>
    </w:p>
    <w:p>
      <w:r>
        <w:rPr>
          <w:b/>
        </w:rPr>
        <w:t xml:space="preserve">Staff Lead: </w:t>
      </w:r>
      <w:r>
        <w:t>Tom Dietrich</w:t>
      </w:r>
    </w:p>
    <w:p>
      <w:r>
        <w:rPr>
          <w:b/>
        </w:rPr>
        <w:t xml:space="preserve">Date this document submitted to LCCMR: </w:t>
      </w:r>
      <w:r>
        <w:t>June 10, 2025</w:t>
      </w:r>
    </w:p>
    <w:p>
      <w:r>
        <w:rPr>
          <w:b/>
        </w:rPr>
        <w:t xml:space="preserve">Project Title: </w:t>
      </w:r>
      <w:r>
        <w:t>Fighting Insect Decline: Minnesota Bumblebees to the Rescue</w:t>
      </w:r>
    </w:p>
    <w:p>
      <w:r>
        <w:rPr>
          <w:b/>
        </w:rPr>
        <w:t xml:space="preserve">Project Budget: </w:t>
      </w:r>
      <w:r>
        <w:t>$249,000</w:t>
      </w:r>
    </w:p>
    <w:p/>
    <w:p>
      <w:pPr>
        <w:pStyle w:val="Heading2"/>
        <w:spacing w:before="0" w:after="80"/>
      </w:pPr>
      <w:r>
        <w:rPr>
          <w:b/>
          <w:color w:val="2C559C"/>
          <w:sz w:val="28"/>
        </w:rPr>
        <w:t>Project Manager Information</w:t>
      </w:r>
    </w:p>
    <w:p>
      <w:r>
        <w:rPr>
          <w:b/>
        </w:rPr>
        <w:t xml:space="preserve">Name: </w:t>
      </w:r>
      <w:r>
        <w:t>Cristian Beza Beza</w:t>
      </w:r>
    </w:p>
    <w:p>
      <w:r>
        <w:rPr>
          <w:b/>
        </w:rPr>
        <w:t xml:space="preserve">Organization: </w:t>
      </w:r>
      <w:r>
        <w:t>U of MN - College of Food, Agricultural and Natural Resource Sciences</w:t>
      </w:r>
    </w:p>
    <w:p>
      <w:r>
        <w:rPr>
          <w:b/>
        </w:rPr>
        <w:t xml:space="preserve">Office Telephone: </w:t>
      </w:r>
      <w:r>
        <w:t>(612) 624-3636</w:t>
      </w:r>
    </w:p>
    <w:p>
      <w:r>
        <w:rPr>
          <w:b/>
        </w:rPr>
        <w:t xml:space="preserve">Email: </w:t>
      </w:r>
      <w:r>
        <w:t>cbezabez@umn.edu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03hh</w:t>
      </w:r>
    </w:p>
    <w:p>
      <w:r>
        <w:rPr>
          <w:b/>
        </w:rPr>
        <w:t xml:space="preserve">Appropriation Language: </w:t>
      </w:r>
      <w:r>
        <w:t xml:space="preserve">$249,000 the first year is from the trust fund to the Board of Regents of the University of Minnesota to map historical and current bumblebee distribution and develop an identification tool using molecular barcodes and an online resource hub to improve conservation of Minnesota's native bumblebees.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propose to use Minnesota native bumblebees as model organisms to gauge the effects of human activity on the states’ ecosystems and understand the drivers of the global insect decline.</w:t>
      </w:r>
    </w:p>
    <w:p>
      <w:pPr>
        <w:spacing w:after="60"/>
      </w:pPr>
      <w:r>
        <w:rPr>
          <w:b/>
        </w:rPr>
        <w:t>Describe the opportunity or problem your proposal seeks to address. Include any relevant background information.</w:t>
      </w:r>
    </w:p>
    <w:p>
      <w:r>
        <w:t>Bumblebees play an important role in our ecosystems as pollinators, including crops that other bees cannot pollinate. Consequently, effective conservation strategies are essential to safeguard these species. The world is facing accelerated rates of biodiversity loss, leading to significant changes in our land, impacting human livelihoods. The recent focus on insect decline reveals alarming trends, marking this era as a global Insect Apocalypse. Although there are multiple reasons for the rapid loss of biodiversity, most can be attributed to human activity, like climate change and habitat loss. Currently Minnesota bumblebee species are in decline, most notably the federally endangered rusty-patched bumblebee, which has undergone range contractions and local extinctions. Models predict that as the climate warms, species will shift their distribution northward. Minnesota houses 25 different bumblebee species, many of which have their northern or southernmost distribution in the state. This creates a wonderful opportunity to use bumblebees as model organisms to study the effects of human activity on Minnesota's ecosystems. To ensure the future success in monitoring we need modern species identification tools, and reliable data repositories accessible to all stakeholders. Understanding the local responses of species to global trends is essential for the development of effective conservation strategies.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Biodiversity conservation involves many aspects, from understanding current status of species, creating resources for effective monitoring, designing and implementing conservation plans, to public engagement. Here we propose to use historic collections, local collecting efforts, and Ecological Niche Models (ENMs) to measure if shifts in the distribution of Minnesotan bumblebee species have already occurred and predict future changes. We will improve taxonomic and identification resources for Minnesota bumblebees by creating a taxonomic revision of Minnesota bumblebees that will be published in a peer-reviewed scientific journal. In addition, we will generate traditional and non-traditional molecular barcodes for the Minnesota bumblebees; this resource can be used in the future to improve the accuracy of non-lethal monitoring strategies such as environmental DNA and metabarcoding. Furthermore, we will make the results of this project available to all Minnesotans through the development of online resources. We will generate and disseminate foundational data and information, directly addressing priority A listed in the request for proposals. We seek funding for: hiring a Master’s student for ecological niche modeling and DNA barcode development, enhancing digitization and georeferencing of bumblebee specimens across various insect collections, and engaging a professional in bioinformatics for the creation of the online Minnesota Pollinator Hub.</w:t>
      </w:r>
    </w:p>
    <w:p>
      <w:pPr>
        <w:spacing w:after="60"/>
      </w:pPr>
      <w:r>
        <w:rPr>
          <w:b/>
        </w:rPr>
        <w:t xml:space="preserve">What are the specific project outcomes as they relate to the public purpose of protection, conservation, preservation, and enhancement of the state’s natural resources? </w:t>
      </w:r>
    </w:p>
    <w:p>
      <w:r>
        <w:t>We will generate historical and current distribution maps of the Minnesota Bumblebees. These will be disseminated in a locally hosted website, digital biodiversity repositories, and peer-reviewed publications. We will develop a well curated identification tool using molecular barcoding of all bumblebee species in the state. Finally we will create an online information repository that can be used by different communities. With this website we will initiate the Minnesota Pollinator hub, which consists of an online resource containing species pages that will aggregate important information for environmental and conservation agencies, educators, and the general public.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Using bumblebees as indicator species for assessing distribution shifts and insect decline in the state of Minnesota.</w:t>
      </w:r>
    </w:p>
    <w:p>
      <w:r>
        <w:rPr>
          <w:b/>
        </w:rPr>
        <w:t xml:space="preserve">Activity Budget: </w:t>
      </w:r>
      <w:r>
        <w:t>$104,186</w:t>
      </w:r>
    </w:p>
    <w:p>
      <w:r>
        <w:rPr>
          <w:b/>
        </w:rPr>
        <w:t xml:space="preserve">Activity Description: </w:t>
        <w:br/>
      </w:r>
      <w:r>
        <w:t>Specimens held in museums and scientific collections represent the data used to approximate a species distribution range, including metadata such as collecting locality, date, and collector information. This record allows for a historical reconstruction of where a species has been found in space and time. The UMSP holds approximately 4,300 bumblebees specimens from Minnesota, including collections since 1896. Additionally, we have identified collections at the Minnesota Department of Natural Resources (~3,100 specimens), and the Essig Museum of Entomology (Berkley, California) as important repositories for bumblebees of Minnesota. Using Ecological Niche Models, we will formally compare the historical and current distribution records of bumblebees in MN to inform how species distribution range has changed through time. Ecological niche modeling combines occurrence and environmental data to create maps showing where that species is likely to thrive. To achieve this, efforts in the digitization and georeference of museum specimens are needed. Currently there is financial  support for digitizing the bees held at the UMSP. The funds of the requested award will complement this existing effort. We will hire a Master’s student to georeference historical records, visit other important museums, and develop Ecological Niche Models.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Hiring of Master student for data analyses</w:t>
            </w:r>
          </w:p>
        </w:tc>
        <w:tc>
          <w:tcPr>
            <w:tcW w:type="dxa" w:w="2160"/>
          </w:tcPr>
          <w:p>
            <w:pPr>
              <w:jc w:val="right"/>
            </w:pPr>
            <w:r>
              <w:rPr>
                <w:sz w:val="20"/>
              </w:rPr>
              <w:t>August 31, 2025</w:t>
            </w:r>
          </w:p>
        </w:tc>
      </w:tr>
      <w:tr>
        <w:tc>
          <w:tcPr>
            <w:tcW w:type="dxa" w:w="8640"/>
          </w:tcPr>
          <w:p>
            <w:r>
              <w:rPr>
                <w:sz w:val="20"/>
              </w:rPr>
              <w:t>Obtaining loans from Essig Museum of Entomology</w:t>
            </w:r>
          </w:p>
        </w:tc>
        <w:tc>
          <w:tcPr>
            <w:tcW w:type="dxa" w:w="2160"/>
          </w:tcPr>
          <w:p>
            <w:pPr>
              <w:jc w:val="right"/>
            </w:pPr>
            <w:r>
              <w:rPr>
                <w:sz w:val="20"/>
              </w:rPr>
              <w:t>December 31, 2025</w:t>
            </w:r>
          </w:p>
        </w:tc>
      </w:tr>
      <w:tr>
        <w:tc>
          <w:tcPr>
            <w:tcW w:type="dxa" w:w="8640"/>
          </w:tcPr>
          <w:p>
            <w:r>
              <w:rPr>
                <w:sz w:val="20"/>
              </w:rPr>
              <w:t>Georeferencing of historical and current records</w:t>
            </w:r>
          </w:p>
        </w:tc>
        <w:tc>
          <w:tcPr>
            <w:tcW w:type="dxa" w:w="2160"/>
          </w:tcPr>
          <w:p>
            <w:pPr>
              <w:jc w:val="right"/>
            </w:pPr>
            <w:r>
              <w:rPr>
                <w:sz w:val="20"/>
              </w:rPr>
              <w:t>August 31, 2026</w:t>
            </w:r>
          </w:p>
        </w:tc>
      </w:tr>
      <w:tr>
        <w:tc>
          <w:tcPr>
            <w:tcW w:type="dxa" w:w="8640"/>
          </w:tcPr>
          <w:p>
            <w:r>
              <w:rPr>
                <w:sz w:val="20"/>
              </w:rPr>
              <w:t>Ecological niche modeling, and comparative analyses</w:t>
            </w:r>
          </w:p>
        </w:tc>
        <w:tc>
          <w:tcPr>
            <w:tcW w:type="dxa" w:w="2160"/>
          </w:tcPr>
          <w:p>
            <w:pPr>
              <w:jc w:val="right"/>
            </w:pPr>
            <w:r>
              <w:rPr>
                <w:sz w:val="20"/>
              </w:rPr>
              <w:t>December 31, 2026</w:t>
            </w:r>
          </w:p>
        </w:tc>
      </w:tr>
      <w:tr>
        <w:tc>
          <w:tcPr>
            <w:tcW w:type="dxa" w:w="8640"/>
          </w:tcPr>
          <w:p>
            <w:r>
              <w:rPr>
                <w:sz w:val="20"/>
              </w:rPr>
              <w:t>Field visits for model validation</w:t>
            </w:r>
          </w:p>
        </w:tc>
        <w:tc>
          <w:tcPr>
            <w:tcW w:type="dxa" w:w="2160"/>
          </w:tcPr>
          <w:p>
            <w:pPr>
              <w:jc w:val="right"/>
            </w:pPr>
            <w:r>
              <w:rPr>
                <w:sz w:val="20"/>
              </w:rPr>
              <w:t>July 31, 2027</w:t>
            </w:r>
          </w:p>
        </w:tc>
      </w:tr>
    </w:tbl>
    <w:p/>
    <w:p>
      <w:pPr>
        <w:pStyle w:val="Heading3"/>
        <w:spacing w:after="60"/>
      </w:pPr>
      <w:r>
        <w:rPr>
          <w:b/>
          <w:color w:val="254885"/>
          <w:sz w:val="26"/>
        </w:rPr>
        <w:t>Activity 2: Building a modern and practical identification tool for the Minnesota bumblebee species</w:t>
      </w:r>
    </w:p>
    <w:p>
      <w:r>
        <w:rPr>
          <w:b/>
        </w:rPr>
        <w:t xml:space="preserve">Activity Budget: </w:t>
      </w:r>
      <w:r>
        <w:t>$97,734</w:t>
      </w:r>
    </w:p>
    <w:p>
      <w:r>
        <w:rPr>
          <w:b/>
        </w:rPr>
        <w:t xml:space="preserve">Activity Description: </w:t>
        <w:br/>
      </w:r>
      <w:r>
        <w:t>Accurate species identification is a crucial component of biological research, environmental monitoring, and effective conservation efforts. However, the reliable identification of organisms, particularly in hyperdiverse groups such as bees, is a difficult task. Since 2005, international efforts, like Barcode of Life (BOLD), pioneer DNA species identification using a region of the genome i.e. “Barcode” that is conserved within but variable between species. This technique has proven useful in assisting (but not replacing) species identification by group experts. Additionally, new sequencing technologies now allow the use of environmental DNA for the non-invasive detection of biodiversity. These new techniques promise to reduce costs, enhance capacity of detection, and minimize the lethal collection of specimens. Nonetheless their accuracy depends on having well curated and complete databases built from the DNA of previously identified specimens. The hired Master student will be in charge of creating well curated molecular barcodes for MN bumblebees. For this purpose, we will use 10 specimens of each Minnesota bumblebee species and test both traditional (COI) and non-traditional (CAD) molecular barcodes. This will increase the representation of data from MN bumblebee species populations in publicly available databases and develop a reliable online identification tool that can be used locally.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Mining of public repositories and data curation</w:t>
            </w:r>
          </w:p>
        </w:tc>
        <w:tc>
          <w:tcPr>
            <w:tcW w:type="dxa" w:w="2160"/>
          </w:tcPr>
          <w:p>
            <w:pPr>
              <w:jc w:val="right"/>
            </w:pPr>
            <w:r>
              <w:rPr>
                <w:sz w:val="20"/>
              </w:rPr>
              <w:t>December 31, 2025</w:t>
            </w:r>
          </w:p>
        </w:tc>
      </w:tr>
      <w:tr>
        <w:tc>
          <w:tcPr>
            <w:tcW w:type="dxa" w:w="8640"/>
          </w:tcPr>
          <w:p>
            <w:r>
              <w:rPr>
                <w:sz w:val="20"/>
              </w:rPr>
              <w:t>Selection of target species for collections</w:t>
            </w:r>
          </w:p>
        </w:tc>
        <w:tc>
          <w:tcPr>
            <w:tcW w:type="dxa" w:w="2160"/>
          </w:tcPr>
          <w:p>
            <w:pPr>
              <w:jc w:val="right"/>
            </w:pPr>
            <w:r>
              <w:rPr>
                <w:sz w:val="20"/>
              </w:rPr>
              <w:t>December 31, 2025</w:t>
            </w:r>
          </w:p>
        </w:tc>
      </w:tr>
      <w:tr>
        <w:tc>
          <w:tcPr>
            <w:tcW w:type="dxa" w:w="8640"/>
          </w:tcPr>
          <w:p>
            <w:r>
              <w:rPr>
                <w:sz w:val="20"/>
              </w:rPr>
              <w:t>DNA extraction, marker amplification and sequencing</w:t>
            </w:r>
          </w:p>
        </w:tc>
        <w:tc>
          <w:tcPr>
            <w:tcW w:type="dxa" w:w="2160"/>
          </w:tcPr>
          <w:p>
            <w:pPr>
              <w:jc w:val="right"/>
            </w:pPr>
            <w:r>
              <w:rPr>
                <w:sz w:val="20"/>
              </w:rPr>
              <w:t>July 31, 2026</w:t>
            </w:r>
          </w:p>
        </w:tc>
      </w:tr>
      <w:tr>
        <w:tc>
          <w:tcPr>
            <w:tcW w:type="dxa" w:w="8640"/>
          </w:tcPr>
          <w:p>
            <w:r>
              <w:rPr>
                <w:sz w:val="20"/>
              </w:rPr>
              <w:t>Data analyses, database construction, and tool validation</w:t>
            </w:r>
          </w:p>
        </w:tc>
        <w:tc>
          <w:tcPr>
            <w:tcW w:type="dxa" w:w="2160"/>
          </w:tcPr>
          <w:p>
            <w:pPr>
              <w:jc w:val="right"/>
            </w:pPr>
            <w:r>
              <w:rPr>
                <w:sz w:val="20"/>
              </w:rPr>
              <w:t>December 31, 2026</w:t>
            </w:r>
          </w:p>
        </w:tc>
      </w:tr>
      <w:tr>
        <w:tc>
          <w:tcPr>
            <w:tcW w:type="dxa" w:w="8640"/>
          </w:tcPr>
          <w:p>
            <w:r>
              <w:rPr>
                <w:sz w:val="20"/>
              </w:rPr>
              <w:t>Making identification tool publicly available</w:t>
            </w:r>
          </w:p>
        </w:tc>
        <w:tc>
          <w:tcPr>
            <w:tcW w:type="dxa" w:w="2160"/>
          </w:tcPr>
          <w:p>
            <w:pPr>
              <w:jc w:val="right"/>
            </w:pPr>
            <w:r>
              <w:rPr>
                <w:sz w:val="20"/>
              </w:rPr>
              <w:t>July 31, 2027</w:t>
            </w:r>
          </w:p>
        </w:tc>
      </w:tr>
    </w:tbl>
    <w:p/>
    <w:p>
      <w:pPr>
        <w:pStyle w:val="Heading3"/>
        <w:spacing w:after="60"/>
      </w:pPr>
      <w:r>
        <w:rPr>
          <w:b/>
          <w:color w:val="254885"/>
          <w:sz w:val="26"/>
        </w:rPr>
        <w:t>Activity 3: Creating and Launching The Minnesota Pollinator Hub</w:t>
      </w:r>
    </w:p>
    <w:p>
      <w:r>
        <w:rPr>
          <w:b/>
        </w:rPr>
        <w:t xml:space="preserve">Activity Budget: </w:t>
      </w:r>
      <w:r>
        <w:t>$47,080</w:t>
      </w:r>
    </w:p>
    <w:p>
      <w:r>
        <w:rPr>
          <w:b/>
        </w:rPr>
        <w:t xml:space="preserve">Activity Description: </w:t>
        <w:br/>
      </w:r>
      <w:r>
        <w:t>Biodiversity and conservation sciences increasingly  rely on digital data aggregated in Information Portals, like the Global Information Facility (GBIF) or the National Center for Biotechnology Information (NCBI). Each of these portals hold specialized data. For example, GBIF is a repository of species occurrences whereas NCBI is for molecular and genomic data. Accessing the available information of each portal requires specific know-how. To facilitate and integrate the use of existing and newly generated data we aim to launch the Minnesota Pollinator Hub, housing an online resource comprising species pages that will consolidate crucial information for environmental and conservation agencies, educators, and the broader public. In phase 1 of this resource we propose to create species pages for all 25 MN bumblebee species. These pages will include species diagnosis, high quality photographs, global and state distribution maps, floral associations, and links to the data house on relevant biodiversity information portals. Additionally, we will develop a user friendly identification guide for Minnesota bumblebees. In the creation process we plan to involve key users of the platform in focus groups to improve design and content. The future plan is to expand this web resource to include information for all Minnesota pollinators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Hiring of Web developer</w:t>
            </w:r>
          </w:p>
        </w:tc>
        <w:tc>
          <w:tcPr>
            <w:tcW w:type="dxa" w:w="2160"/>
          </w:tcPr>
          <w:p>
            <w:pPr>
              <w:jc w:val="right"/>
            </w:pPr>
            <w:r>
              <w:rPr>
                <w:sz w:val="20"/>
              </w:rPr>
              <w:t>January 31, 2026</w:t>
            </w:r>
          </w:p>
        </w:tc>
      </w:tr>
      <w:tr>
        <w:tc>
          <w:tcPr>
            <w:tcW w:type="dxa" w:w="8640"/>
          </w:tcPr>
          <w:p>
            <w:r>
              <w:rPr>
                <w:sz w:val="20"/>
              </w:rPr>
              <w:t>Building web page backbone</w:t>
            </w:r>
          </w:p>
        </w:tc>
        <w:tc>
          <w:tcPr>
            <w:tcW w:type="dxa" w:w="2160"/>
          </w:tcPr>
          <w:p>
            <w:pPr>
              <w:jc w:val="right"/>
            </w:pPr>
            <w:r>
              <w:rPr>
                <w:sz w:val="20"/>
              </w:rPr>
              <w:t>June 30, 2026</w:t>
            </w:r>
          </w:p>
        </w:tc>
      </w:tr>
      <w:tr>
        <w:tc>
          <w:tcPr>
            <w:tcW w:type="dxa" w:w="8640"/>
          </w:tcPr>
          <w:p>
            <w:r>
              <w:rPr>
                <w:sz w:val="20"/>
              </w:rPr>
              <w:t>Feedback with key stakeholders (Conservation agencies, educators)</w:t>
            </w:r>
          </w:p>
        </w:tc>
        <w:tc>
          <w:tcPr>
            <w:tcW w:type="dxa" w:w="2160"/>
          </w:tcPr>
          <w:p>
            <w:pPr>
              <w:jc w:val="right"/>
            </w:pPr>
            <w:r>
              <w:rPr>
                <w:sz w:val="20"/>
              </w:rPr>
              <w:t>August 31, 2026</w:t>
            </w:r>
          </w:p>
        </w:tc>
      </w:tr>
      <w:tr>
        <w:tc>
          <w:tcPr>
            <w:tcW w:type="dxa" w:w="8640"/>
          </w:tcPr>
          <w:p>
            <w:r>
              <w:rPr>
                <w:sz w:val="20"/>
              </w:rPr>
              <w:t>Final design and making web resource publicly available</w:t>
            </w:r>
          </w:p>
        </w:tc>
        <w:tc>
          <w:tcPr>
            <w:tcW w:type="dxa" w:w="2160"/>
          </w:tcPr>
          <w:p>
            <w:pPr>
              <w:jc w:val="right"/>
            </w:pPr>
            <w:r>
              <w:rPr>
                <w:sz w:val="20"/>
              </w:rPr>
              <w:t>July 31, 2027</w:t>
            </w:r>
          </w:p>
        </w:tc>
      </w:tr>
      <w:tr>
        <w:tc>
          <w:tcPr>
            <w:tcW w:type="dxa" w:w="8640"/>
          </w:tcPr>
          <w:p>
            <w:r>
              <w:rPr>
                <w:sz w:val="20"/>
              </w:rPr>
              <w:t>Publication of user-friendly identification guide of Minnesota bumblebees</w:t>
            </w:r>
          </w:p>
        </w:tc>
        <w:tc>
          <w:tcPr>
            <w:tcW w:type="dxa" w:w="2160"/>
          </w:tcPr>
          <w:p>
            <w:pPr>
              <w:jc w:val="right"/>
            </w:pPr>
            <w:r>
              <w:rPr>
                <w:sz w:val="20"/>
              </w:rPr>
              <w:t>July 31,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Daniel Cariveau</w:t>
            </w:r>
          </w:p>
        </w:tc>
        <w:tc>
          <w:tcPr>
            <w:tcW w:type="dxa" w:w="1440"/>
          </w:tcPr>
          <w:p>
            <w:r>
              <w:rPr>
                <w:sz w:val="20"/>
              </w:rPr>
              <w:t>University of Minnesota</w:t>
            </w:r>
          </w:p>
        </w:tc>
        <w:tc>
          <w:tcPr>
            <w:tcW w:type="dxa" w:w="6840"/>
          </w:tcPr>
          <w:p>
            <w:r>
              <w:rPr>
                <w:sz w:val="20"/>
              </w:rPr>
              <w:t>ssociate professor, who will assist in advising the Master student in the project</w:t>
            </w:r>
          </w:p>
        </w:tc>
        <w:tc>
          <w:tcPr>
            <w:tcW w:type="dxa" w:w="1080"/>
          </w:tcPr>
          <w:p>
            <w:r>
              <w:rPr>
                <w:sz w:val="20"/>
              </w:rPr>
              <w:t>No</w:t>
            </w:r>
          </w:p>
        </w:tc>
      </w:tr>
      <w:tr>
        <w:tc>
          <w:tcPr>
            <w:tcW w:type="dxa" w:w="1440"/>
          </w:tcPr>
          <w:p>
            <w:r>
              <w:rPr>
                <w:sz w:val="20"/>
              </w:rPr>
              <w:t>Zachary Portman</w:t>
            </w:r>
          </w:p>
        </w:tc>
        <w:tc>
          <w:tcPr>
            <w:tcW w:type="dxa" w:w="1440"/>
          </w:tcPr>
          <w:p>
            <w:r>
              <w:rPr>
                <w:sz w:val="20"/>
              </w:rPr>
              <w:t>University of Minnesota</w:t>
            </w:r>
          </w:p>
        </w:tc>
        <w:tc>
          <w:tcPr>
            <w:tcW w:type="dxa" w:w="6840"/>
          </w:tcPr>
          <w:p>
            <w:r>
              <w:rPr>
                <w:sz w:val="20"/>
              </w:rPr>
              <w:t>Hymenoptera expert, who will serve as the bumblebee taxonomic expert in the project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In this project we intend to generate two main data sources, bumblebee specimens from collecting events, and digital information. All physical specimens will be housed at the University of Minnesota Insect Collection (https://insectcollection.umn.edu/), access to the specimens will be granted according to the policies of the collection (https://insectcollection.umn.edu/policies). All digital data (e.g., occurrence records, bar codes) are going to be publicly available at biodiversity data agregators (e.g., GBIF, NCBI, BOLD). for occurrence data  exceptions will be made to the state threatened and endangered list that would render those data non-public to protect the locations of rare species. Most data generated from this project is expected to be synthesize and available at the propose Minnesota Pollinator Hub, this resource is expected to be a user friendly data source for all state stake holders. Additionally, we will generate peer-reviewed publications and presentations at scientific meetings (e.g. Entomological Society of America) for the dissemination to the scientific community.</w:t>
        <w:br/>
        <w:br/>
        <w:t>Acknowledgments  to the Environment and Natural Resources Trust Fund and reference the specific grant number will be done for all products of this project.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online products of this project will be hosted in the University of Minnesota servers, and maintained using university resources, Scientific Publications in open source journals, and all data will be publicly available and shared in data repositories such as University of Minnesota DRUM. The future plan is to expand the Minnesota Pollinator Hub to include information for all Minnesota pollinators. Additionally,  newly collected specimens and its information will be hosted by the University of Minnesota Insect Collection using their existing infrastructure.</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Non-academic Civil service Staff</w:t>
            </w:r>
          </w:p>
        </w:tc>
        <w:tc>
          <w:tcPr>
            <w:tcW w:type="dxa" w:w="1440"/>
          </w:tcPr>
          <w:p>
            <w:r>
              <w:rPr>
                <w:sz w:val="20"/>
              </w:rPr>
            </w:r>
          </w:p>
        </w:tc>
        <w:tc>
          <w:tcPr>
            <w:tcW w:type="dxa" w:w="5472"/>
          </w:tcPr>
          <w:p>
            <w:r>
              <w:rPr>
                <w:sz w:val="20"/>
              </w:rPr>
              <w:t>Bee taxonomist / Serve as the taxonomic expert of the project for bee identification.</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$88,319</w:t>
            </w:r>
          </w:p>
        </w:tc>
      </w:tr>
      <w:tr>
        <w:tc>
          <w:tcPr>
            <w:tcW w:type="dxa" w:w="864"/>
          </w:tcPr>
          <w:p>
            <w:r>
              <w:rPr>
                <w:sz w:val="20"/>
              </w:rPr>
              <w:t>Graduate research Associate</w:t>
            </w:r>
          </w:p>
        </w:tc>
        <w:tc>
          <w:tcPr>
            <w:tcW w:type="dxa" w:w="1440"/>
          </w:tcPr>
          <w:p>
            <w:r>
              <w:rPr>
                <w:sz w:val="20"/>
              </w:rPr>
            </w:r>
          </w:p>
        </w:tc>
        <w:tc>
          <w:tcPr>
            <w:tcW w:type="dxa" w:w="5472"/>
          </w:tcPr>
          <w:p>
            <w:r>
              <w:rPr>
                <w:sz w:val="20"/>
              </w:rPr>
              <w:t>Master’s Student / Person in charge of data gathering analyses and publication.</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$100,579</w:t>
            </w:r>
          </w:p>
        </w:tc>
      </w:tr>
      <w:tr>
        <w:tc>
          <w:tcPr>
            <w:tcW w:type="dxa" w:w="864"/>
          </w:tcPr>
          <w:p>
            <w:r>
              <w:rPr>
                <w:sz w:val="20"/>
              </w:rPr>
              <w:t>Undergraduate Research Associate</w:t>
            </w:r>
          </w:p>
        </w:tc>
        <w:tc>
          <w:tcPr>
            <w:tcW w:type="dxa" w:w="1440"/>
          </w:tcPr>
          <w:p>
            <w:r>
              <w:rPr>
                <w:sz w:val="20"/>
              </w:rPr>
            </w:r>
          </w:p>
        </w:tc>
        <w:tc>
          <w:tcPr>
            <w:tcW w:type="dxa" w:w="5472"/>
          </w:tcPr>
          <w:p>
            <w:r>
              <w:rPr>
                <w:sz w:val="20"/>
              </w:rPr>
              <w:t>Field assistant / part time undergraduate research associate, to assist in the field collections necessary for the study</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$2,374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$191,272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services for the web development of the online identification tool and the Minnesota Pollinator Hub</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$25,000</w:t>
            </w:r>
          </w:p>
        </w:tc>
      </w:tr>
      <w:tr>
        <w:tc>
          <w:tcPr>
            <w:tcW w:type="dxa" w:w="864"/>
          </w:tcPr>
          <w:p>
            <w:r>
              <w:rPr>
                <w:sz w:val="20"/>
              </w:rPr>
              <w:t>TBD</w:t>
            </w:r>
          </w:p>
        </w:tc>
        <w:tc>
          <w:tcPr>
            <w:tcW w:type="dxa" w:w="1440"/>
          </w:tcPr>
          <w:p>
            <w:r>
              <w:rPr>
                <w:sz w:val="20"/>
              </w:rPr>
              <w:t>Service Contract</w:t>
            </w:r>
          </w:p>
        </w:tc>
        <w:tc>
          <w:tcPr>
            <w:tcW w:type="dxa" w:w="5472"/>
          </w:tcPr>
          <w:p>
            <w:r>
              <w:rPr>
                <w:sz w:val="20"/>
              </w:rPr>
              <w:t>DNA sequencing for the Barcoding of at least 250 bumblebee specimens.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materials include general lab consumables, Eppendorf tubes, DNA extraction kits, and PCR kits. Funds are budgeted for DNA extraction and template preparation.</w:t>
            </w:r>
          </w:p>
        </w:tc>
        <w:tc>
          <w:tcPr>
            <w:tcW w:type="dxa" w:w="4032"/>
          </w:tcPr>
          <w:p>
            <w:r>
              <w:rPr>
                <w:sz w:val="20"/>
              </w:rPr>
              <w:t>Funds are requested for materials to process samples for barcoding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Funds are required for covering expenses associated with transportation, lodging and per diem for travel within Minnesota to collect bumblebees</w:t>
            </w:r>
          </w:p>
        </w:tc>
        <w:tc>
          <w:tcPr>
            <w:tcW w:type="dxa" w:w="4032"/>
          </w:tcPr>
          <w:p>
            <w:r>
              <w:rPr>
                <w:sz w:val="20"/>
              </w:rPr>
              <w:t>This trip will serve in the gathering of new data and validation of Ecological Niche Models.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Funds are requested to cover the cost associated with publication in open-source  peer-reviewed journals. 2 publications</w:t>
            </w:r>
          </w:p>
        </w:tc>
        <w:tc>
          <w:tcPr>
            <w:tcW w:type="dxa" w:w="4032"/>
          </w:tcPr>
          <w:p>
            <w:r>
              <w:rPr>
                <w:sz w:val="20"/>
              </w:rPr>
              <w:t>Publication on peer- reviewed journals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$4,728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$4,728</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$249,000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$249,000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a4fafe38-8f6.pdf</w:t>
          </w:r>
        </w:hyperlink>
      </w:r>
    </w:p>
    <w:p>
      <w:pPr>
        <w:pStyle w:val="Heading4"/>
        <w:spacing w:before="40" w:after="20"/>
      </w:pPr>
      <w:r>
        <w:rPr>
          <w:b/>
          <w:i/>
          <w:color w:val="000000"/>
          <w:sz w:val="24"/>
        </w:rPr>
        <w:t>Alternate Text for Visual Component</w:t>
      </w:r>
    </w:p>
    <w:p>
      <w:r>
        <w:t>Work flow for the use of ecological niche modeling to predict distribution shifts, validation of the model and identifying areas of interest for conservation...</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 of M SPA letter</w:t>
            </w:r>
          </w:p>
        </w:tc>
        <w:tc>
          <w:tcPr>
            <w:tcW w:type="dxa" w:w="5400"/>
          </w:tcPr>
          <w:p>
            <w:r>
              <w:rPr>
                <w:sz w:val="20"/>
              </w:rPr>
            </w:r>
            <w:r>
              <w:rPr>
                <w:color w:val="000000" w:themeColor="hyperlink"/>
                <w:sz w:val="20"/>
                <w:u w:val="single"/>
              </w:rPr>
              <w:hyperlink r:id="rId13">
                <w:r>
                  <w:rPr/>
                  <w:t>909ebf3c-f73.pdf</w:t>
                </w:r>
              </w:hyperlink>
            </w:r>
          </w:p>
        </w:tc>
      </w:tr>
      <w:tr>
        <w:tc>
          <w:tcPr>
            <w:tcW w:type="dxa" w:w="5400"/>
          </w:tcPr>
          <w:p>
            <w:r>
              <w:rPr>
                <w:sz w:val="20"/>
              </w:rPr>
              <w:t>2025-311 Research Addendum revised_final</w:t>
            </w:r>
          </w:p>
        </w:tc>
        <w:tc>
          <w:tcPr>
            <w:tcW w:type="dxa" w:w="5400"/>
          </w:tcPr>
          <w:p>
            <w:r>
              <w:rPr>
                <w:sz w:val="20"/>
              </w:rPr>
            </w:r>
            <w:r>
              <w:rPr>
                <w:color w:val="000000" w:themeColor="hyperlink"/>
                <w:sz w:val="20"/>
                <w:u w:val="single"/>
              </w:rPr>
              <w:hyperlink r:id="rId14">
                <w:r>
                  <w:rPr/>
                  <w:t>9f4b4870-1ff.docx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added Acknowledgments required in the TBD categories for subawards in the budget. We added one milestone in activity 3 "Publication of a user-friendly guide for Minnesota bumblebee species"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Andrea Little (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a4fafe38-8f6.pdf" TargetMode="External"/><Relationship Id="rId13" Type="http://schemas.openxmlformats.org/officeDocument/2006/relationships/hyperlink" Target="https://lccmrprojectmgmt.leg.mn/media/attachments/909ebf3c-f73.pdf" TargetMode="External"/><Relationship Id="rId14" Type="http://schemas.openxmlformats.org/officeDocument/2006/relationships/hyperlink" Target="https://lccmrprojectmgmt.leg.mn/media/attachments/9f4b4870-1f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Fighting Insect Decline: Minnesota Bumblebees to the Rescue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