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M.L. 2025 Final Work Plan</w:t>
      </w:r>
    </w:p>
    <w:p>
      <w:pPr>
        <w:pStyle w:val="Heading2"/>
        <w:spacing w:before="0" w:after="80"/>
      </w:pPr>
      <w:r>
        <w:rPr>
          <w:b/>
          <w:color w:val="2C559C"/>
          <w:sz w:val="28"/>
        </w:rPr>
        <w:t>General Information</w:t>
      </w:r>
    </w:p>
    <w:p>
      <w:r>
        <w:rPr>
          <w:b/>
        </w:rPr>
        <w:t xml:space="preserve">ID Number: </w:t>
      </w:r>
      <w:r>
        <w:t>2025-288</w:t>
      </w:r>
    </w:p>
    <w:p>
      <w:r>
        <w:rPr>
          <w:b/>
        </w:rPr>
        <w:t xml:space="preserve">Staff Lead: </w:t>
      </w:r>
      <w:r>
        <w:t>Tiffany Schaufler</w:t>
      </w:r>
    </w:p>
    <w:p>
      <w:r>
        <w:rPr>
          <w:b/>
        </w:rPr>
        <w:t xml:space="preserve">Date this document submitted to LCCMR: </w:t>
      </w:r>
      <w:r>
        <w:t>June 5, 2025</w:t>
      </w:r>
    </w:p>
    <w:p>
      <w:r>
        <w:rPr>
          <w:b/>
        </w:rPr>
        <w:t xml:space="preserve">Project Title: </w:t>
      </w:r>
      <w:r>
        <w:t>Shoreline Restoration and Enhancement at Minneapolis Lakes</w:t>
      </w:r>
    </w:p>
    <w:p>
      <w:r>
        <w:rPr>
          <w:b/>
        </w:rPr>
        <w:t xml:space="preserve">Project Budget: </w:t>
      </w:r>
      <w:r>
        <w:t>$819,000</w:t>
      </w:r>
    </w:p>
    <w:p/>
    <w:p>
      <w:pPr>
        <w:pStyle w:val="Heading2"/>
        <w:spacing w:before="0" w:after="80"/>
      </w:pPr>
      <w:r>
        <w:rPr>
          <w:b/>
          <w:color w:val="2C559C"/>
          <w:sz w:val="28"/>
        </w:rPr>
        <w:t>Project Manager Information</w:t>
      </w:r>
    </w:p>
    <w:p>
      <w:r>
        <w:rPr>
          <w:b/>
        </w:rPr>
        <w:t xml:space="preserve">Name: </w:t>
      </w:r>
      <w:r>
        <w:t>Adam Arvidson</w:t>
      </w:r>
    </w:p>
    <w:p>
      <w:r>
        <w:rPr>
          <w:b/>
        </w:rPr>
        <w:t xml:space="preserve">Organization: </w:t>
      </w:r>
      <w:r>
        <w:t>Minneapolis Park and Recreation Board</w:t>
      </w:r>
    </w:p>
    <w:p>
      <w:r>
        <w:rPr>
          <w:b/>
        </w:rPr>
        <w:t xml:space="preserve">Office Telephone: </w:t>
      </w:r>
      <w:r>
        <w:t>(612) 230-6470</w:t>
      </w:r>
    </w:p>
    <w:p>
      <w:r>
        <w:rPr>
          <w:b/>
        </w:rPr>
        <w:t xml:space="preserve">Email: </w:t>
      </w:r>
      <w:r>
        <w:t>aarvidson@minneapolisparks.org</w:t>
      </w:r>
    </w:p>
    <w:p>
      <w:r>
        <w:rPr>
          <w:b/>
        </w:rPr>
        <w:t xml:space="preserve">Web Address: </w:t>
      </w:r>
      <w:r>
        <w:t>https://www.minneapolisparks.org/</w:t>
      </w:r>
    </w:p>
    <w:p/>
    <w:p>
      <w:pPr>
        <w:pStyle w:val="Heading2"/>
        <w:spacing w:before="0" w:after="80"/>
      </w:pPr>
      <w:r>
        <w:rPr>
          <w:b/>
          <w:color w:val="2C559C"/>
          <w:sz w:val="28"/>
        </w:rPr>
        <w:t>Project Reporting</w:t>
      </w:r>
    </w:p>
    <w:p>
      <w:r>
        <w:rPr>
          <w:b/>
        </w:rPr>
        <w:t xml:space="preserve">Reporting Schedule: </w:t>
      </w:r>
      <w:r>
        <w:t>March 1</w:t>
      </w:r>
      <w:r>
        <w:t xml:space="preserve"> / </w:t>
      </w:r>
      <w:r>
        <w:t>September 1</w:t>
      </w:r>
      <w:r>
        <w:t xml:space="preserve"> of each year.</w:t>
      </w:r>
    </w:p>
    <w:p>
      <w:r>
        <w:rPr>
          <w:b/>
        </w:rPr>
        <w:t xml:space="preserve">Project Completion: </w:t>
      </w:r>
      <w:r>
        <w:t>June 30, 2028</w:t>
      </w:r>
    </w:p>
    <w:p>
      <w:r>
        <w:rPr>
          <w:b/>
        </w:rPr>
        <w:t xml:space="preserve">Final Report Due Date: </w:t>
      </w:r>
      <w:r>
        <w:t>August 14, 2028</w:t>
      </w:r>
    </w:p>
    <w:p/>
    <w:p>
      <w:pPr>
        <w:pStyle w:val="Heading2"/>
        <w:spacing w:before="0" w:after="80"/>
      </w:pPr>
      <w:r>
        <w:rPr>
          <w:b/>
          <w:color w:val="2C559C"/>
          <w:sz w:val="28"/>
        </w:rPr>
        <w:t>Legal Information</w:t>
      </w:r>
    </w:p>
    <w:p>
      <w:r>
        <w:rPr>
          <w:b/>
        </w:rPr>
        <w:t xml:space="preserve">Legal Citation: </w:t>
      </w:r>
      <w:r>
        <w:t>M.L. 2025, First Special Session, Chp. 1, Art. 2, Sec. 2, Subd. 08r</w:t>
      </w:r>
    </w:p>
    <w:p>
      <w:r>
        <w:rPr>
          <w:b/>
        </w:rPr>
        <w:t xml:space="preserve">Appropriation Language: </w:t>
      </w:r>
      <w:r>
        <w:t xml:space="preserve">$819,000 the first year is from the trust fund to the commissioner of natural resources for an agreement with the Minneapolis Park and Recreation Board to restore and enhance areas of turf-dominated, eroding, and low habitat value lakeshore that impacts the water quality of the Minneapolis Chain of Lakes. </w:t>
      </w:r>
    </w:p>
    <w:p>
      <w:r>
        <w:rPr>
          <w:b/>
        </w:rPr>
        <w:t xml:space="preserve">Appropriation End Date: </w:t>
      </w:r>
      <w:r>
        <w:t>June 30, 2028</w:t>
      </w:r>
    </w:p>
    <w:p>
      <w:r>
        <w:br w:type="page"/>
      </w:r>
    </w:p>
    <w:p>
      <w:pPr>
        <w:pStyle w:val="Heading2"/>
        <w:spacing w:before="0" w:after="80"/>
      </w:pPr>
      <w:r>
        <w:rPr>
          <w:b/>
          <w:color w:val="2C559C"/>
          <w:sz w:val="28"/>
        </w:rPr>
        <w:t>Narrative</w:t>
      </w:r>
    </w:p>
    <w:p>
      <w:r>
        <w:rPr>
          <w:b/>
        </w:rPr>
        <w:t xml:space="preserve">Project Summary: </w:t>
      </w:r>
      <w:r>
        <w:t>This project will restore and enhance approximately 2.6 miles of turf-dominated, eroding, low habitat value lakeshore around Minneapolis's famous Chain of Lakes.</w:t>
      </w:r>
    </w:p>
    <w:p>
      <w:pPr>
        <w:spacing w:after="60"/>
      </w:pPr>
      <w:r>
        <w:rPr>
          <w:b/>
        </w:rPr>
        <w:t>Describe the opportunity or problem your proposal seeks to address. Include any relevant background information.</w:t>
      </w:r>
    </w:p>
    <w:p>
      <w:r>
        <w:t xml:space="preserve">The Minneapolis lakeshores of Harriet, Bde Maka Ska, Isles, Cedar, and Brownie provide for the most part very low habitat value. Originally envisioned as park spaces as early as the 1860s, these lakeshore swaths entertain more than 8 million human visits per year, making them collectively the most visited park in the state, and the 2nd most visited tourist attraction overall. In most cases, these 12.8 miles of shoreline are comprised of turf grass running right up to the water's edge. Many areas are actively eroding, while others feature stone walls in varying states of repair. The erosion impacts water quality in the lakes, because it can resuspend phosphorous in the water. These types of shoreline also encourage the proliferation of Canada geese, who foul the land and water. </w:t>
        <w:br/>
        <w:br/>
        <w:t>The Minneapolis Park and Recreation Board (MPRB) has completed vision plans for all five of these lakes--visions that call for more extensive naturalization, a focus on water quality, and widespread habitat improvement. In order to protect park infrastructure, improve habitat, enhance water quality, and implement the next decades of community vision for these lakes, it is important to begin work now.</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 xml:space="preserve">Our proposal seeks to transform 2.6 miles (or roughly 20%) of the Chain of Lakes lakeshore into a restored ecosystem of prairie and aquatic plants with ample habitat opportunities for birds, insects, and aquatic life. This project will repair erosion, remove invasive species were they occur, and strategically direct human use to designated water access points.  MPRB will strategically select, in part through community engagement, the reaches to be restored, in order to achieve the greatest water quality and habitat benefit.  </w:t>
        <w:br/>
        <w:br/>
        <w:t>The inception of this project rises from the 2023 state appropriation of Parks Modernization funding. MPRB is choosing to use $1,900,000 of its allocation from this new one-time source to address erosion and shoreline quality around the Chain of Lakes. The requested $819,000 from ENRTF would augment this project, adding an otherwise unfunded mile of shoreline to the project, and bringing the total to 2.6 miles.  Larger  projects are more efficient.  Through this combination of funding, MPRB can execute a significant improvement in lakeshore quality at the lowest possible per-mile cost.</w:t>
      </w:r>
    </w:p>
    <w:p>
      <w:pPr>
        <w:spacing w:after="60"/>
      </w:pPr>
      <w:r>
        <w:rPr>
          <w:b/>
        </w:rPr>
        <w:t xml:space="preserve">What are the specific project outcomes as they relate to the public purpose of protection, conservation, preservation, and enhancement of the state’s natural resources? </w:t>
      </w:r>
    </w:p>
    <w:p>
      <w:r>
        <w:t xml:space="preserve">This project will provide habitat for numerous animal species, including mammals, birds, and insects and other pollinators. It will address active erosion along the lakeshores, which is impacting water quality. It will create an even more beautiful and varied experience for the millions that enjoy the Chain of Lakes each year, year-round.  </w:t>
        <w:br/>
        <w:br/>
        <w:t>Note: MPRB is investing in its other lakes through other funding sources, most notably a multi-phase shoreline project at Lake Nokomis funded through LSOHC.</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 xml:space="preserve">Region(s): </w:t>
      </w:r>
      <w:r>
        <w:t>Metro</w:t>
      </w:r>
    </w:p>
    <w:p>
      <w:pPr>
        <w:spacing w:after="20"/>
      </w:pPr>
      <w:r>
        <w:rPr>
          <w:b/>
        </w:rPr>
        <w:t xml:space="preserve">When will the work impact occur?  </w:t>
        <w:br/>
        <w:tab/>
      </w:r>
      <w:r>
        <w:t>During the Project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Restoration Planning</w:t>
      </w:r>
    </w:p>
    <w:p>
      <w:r>
        <w:rPr>
          <w:b/>
        </w:rPr>
        <w:t xml:space="preserve">Activity Budget: </w:t>
      </w:r>
      <w:r>
        <w:t>$39,000</w:t>
      </w:r>
    </w:p>
    <w:p>
      <w:r>
        <w:rPr>
          <w:b/>
        </w:rPr>
        <w:t xml:space="preserve">Activity Description: </w:t>
        <w:br/>
      </w:r>
      <w:r>
        <w:t>MPRB will hire an ecological restoration professional through a competitive process and work with them to prepare a restoration plan for the site. The restoration plan will become part of the construction plans for the project that will be publicly bid (Activity 2).  The restoration plan will guide all construction, the process for ongoing monitoring, and long-term maintenance. Construction plans will be prepared by MPRB staff and will be based on the restoration plan.</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Selection of Restoration Professional</w:t>
            </w:r>
          </w:p>
        </w:tc>
        <w:tc>
          <w:tcPr>
            <w:tcW w:type="dxa" w:w="2160"/>
          </w:tcPr>
          <w:p>
            <w:pPr>
              <w:jc w:val="right"/>
            </w:pPr>
            <w:r>
              <w:rPr>
                <w:sz w:val="20"/>
              </w:rPr>
              <w:t>August 31, 2025</w:t>
            </w:r>
          </w:p>
        </w:tc>
      </w:tr>
      <w:tr>
        <w:tc>
          <w:tcPr>
            <w:tcW w:type="dxa" w:w="8640"/>
          </w:tcPr>
          <w:p>
            <w:r>
              <w:rPr>
                <w:sz w:val="20"/>
              </w:rPr>
              <w:t>Completion of Restoration Plan</w:t>
            </w:r>
          </w:p>
        </w:tc>
        <w:tc>
          <w:tcPr>
            <w:tcW w:type="dxa" w:w="2160"/>
          </w:tcPr>
          <w:p>
            <w:pPr>
              <w:jc w:val="right"/>
            </w:pPr>
            <w:r>
              <w:rPr>
                <w:sz w:val="20"/>
              </w:rPr>
              <w:t>November 30, 2025</w:t>
            </w:r>
          </w:p>
        </w:tc>
      </w:tr>
      <w:tr>
        <w:tc>
          <w:tcPr>
            <w:tcW w:type="dxa" w:w="8640"/>
          </w:tcPr>
          <w:p>
            <w:r>
              <w:rPr>
                <w:sz w:val="20"/>
              </w:rPr>
              <w:t>Completion of community engagement</w:t>
            </w:r>
          </w:p>
        </w:tc>
        <w:tc>
          <w:tcPr>
            <w:tcW w:type="dxa" w:w="2160"/>
          </w:tcPr>
          <w:p>
            <w:pPr>
              <w:jc w:val="right"/>
            </w:pPr>
            <w:r>
              <w:rPr>
                <w:sz w:val="20"/>
              </w:rPr>
              <w:t>November 30, 2025</w:t>
            </w:r>
          </w:p>
        </w:tc>
      </w:tr>
      <w:tr>
        <w:tc>
          <w:tcPr>
            <w:tcW w:type="dxa" w:w="8640"/>
          </w:tcPr>
          <w:p>
            <w:r>
              <w:rPr>
                <w:sz w:val="20"/>
              </w:rPr>
              <w:t>Completion of Construction Plans for Bidding</w:t>
            </w:r>
          </w:p>
        </w:tc>
        <w:tc>
          <w:tcPr>
            <w:tcW w:type="dxa" w:w="2160"/>
          </w:tcPr>
          <w:p>
            <w:pPr>
              <w:jc w:val="right"/>
            </w:pPr>
            <w:r>
              <w:rPr>
                <w:sz w:val="20"/>
              </w:rPr>
              <w:t>January 31, 2026</w:t>
            </w:r>
          </w:p>
        </w:tc>
      </w:tr>
      <w:tr>
        <w:tc>
          <w:tcPr>
            <w:tcW w:type="dxa" w:w="8640"/>
          </w:tcPr>
          <w:p>
            <w:r>
              <w:rPr>
                <w:sz w:val="20"/>
              </w:rPr>
              <w:t>Permits secured</w:t>
            </w:r>
          </w:p>
        </w:tc>
        <w:tc>
          <w:tcPr>
            <w:tcW w:type="dxa" w:w="2160"/>
          </w:tcPr>
          <w:p>
            <w:pPr>
              <w:jc w:val="right"/>
            </w:pPr>
            <w:r>
              <w:rPr>
                <w:sz w:val="20"/>
              </w:rPr>
              <w:t>January 31, 2026</w:t>
            </w:r>
          </w:p>
        </w:tc>
      </w:tr>
    </w:tbl>
    <w:p/>
    <w:p>
      <w:pPr>
        <w:pStyle w:val="Heading3"/>
        <w:spacing w:after="60"/>
      </w:pPr>
      <w:r>
        <w:rPr>
          <w:b/>
          <w:color w:val="254885"/>
          <w:sz w:val="26"/>
        </w:rPr>
        <w:t>Activity 2: Site Preparation and Construction</w:t>
      </w:r>
    </w:p>
    <w:p>
      <w:r>
        <w:rPr>
          <w:b/>
        </w:rPr>
        <w:t xml:space="preserve">Activity Budget: </w:t>
      </w:r>
      <w:r>
        <w:t>$779,000</w:t>
      </w:r>
    </w:p>
    <w:p>
      <w:r>
        <w:rPr>
          <w:b/>
        </w:rPr>
        <w:t xml:space="preserve">Activity Description: </w:t>
        <w:br/>
      </w:r>
      <w:r>
        <w:t>The construction phase will include the hiring of a construction contractor through the public bidding process. Following construction contract award by the MPRB Board of Commissioners, Permitting and Construction Mobilization will commence. The Contractor will complete the restoration under the observation of the MPRB hired consultant and MPRB staff that will oversee Construction Administration activities. Construction will likely include one year of site preparation to remove established turf grass and other invasive species, with seeding and planting taking place in the second year. Demobilization from the site will occur when the contractor has completed the Work as described in the bidding documents.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Construction Contract Award</w:t>
            </w:r>
          </w:p>
        </w:tc>
        <w:tc>
          <w:tcPr>
            <w:tcW w:type="dxa" w:w="2160"/>
          </w:tcPr>
          <w:p>
            <w:pPr>
              <w:jc w:val="right"/>
            </w:pPr>
            <w:r>
              <w:rPr>
                <w:sz w:val="20"/>
              </w:rPr>
              <w:t>March 31, 2026</w:t>
            </w:r>
          </w:p>
        </w:tc>
      </w:tr>
      <w:tr>
        <w:tc>
          <w:tcPr>
            <w:tcW w:type="dxa" w:w="8640"/>
          </w:tcPr>
          <w:p>
            <w:r>
              <w:rPr>
                <w:sz w:val="20"/>
              </w:rPr>
              <w:t>Construction Commencement</w:t>
            </w:r>
          </w:p>
        </w:tc>
        <w:tc>
          <w:tcPr>
            <w:tcW w:type="dxa" w:w="2160"/>
          </w:tcPr>
          <w:p>
            <w:pPr>
              <w:jc w:val="right"/>
            </w:pPr>
            <w:r>
              <w:rPr>
                <w:sz w:val="20"/>
              </w:rPr>
              <w:t>April 30, 2026</w:t>
            </w:r>
          </w:p>
        </w:tc>
      </w:tr>
      <w:tr>
        <w:tc>
          <w:tcPr>
            <w:tcW w:type="dxa" w:w="8640"/>
          </w:tcPr>
          <w:p>
            <w:r>
              <w:rPr>
                <w:sz w:val="20"/>
              </w:rPr>
              <w:t>ENRTF signage/logo installed</w:t>
            </w:r>
          </w:p>
        </w:tc>
        <w:tc>
          <w:tcPr>
            <w:tcW w:type="dxa" w:w="2160"/>
          </w:tcPr>
          <w:p>
            <w:pPr>
              <w:jc w:val="right"/>
            </w:pPr>
            <w:r>
              <w:rPr>
                <w:sz w:val="20"/>
              </w:rPr>
              <w:t>April 30, 2026</w:t>
            </w:r>
          </w:p>
        </w:tc>
      </w:tr>
      <w:tr>
        <w:tc>
          <w:tcPr>
            <w:tcW w:type="dxa" w:w="8640"/>
          </w:tcPr>
          <w:p>
            <w:r>
              <w:rPr>
                <w:sz w:val="20"/>
              </w:rPr>
              <w:t>Completion of Site Preparation</w:t>
            </w:r>
          </w:p>
        </w:tc>
        <w:tc>
          <w:tcPr>
            <w:tcW w:type="dxa" w:w="2160"/>
          </w:tcPr>
          <w:p>
            <w:pPr>
              <w:jc w:val="right"/>
            </w:pPr>
            <w:r>
              <w:rPr>
                <w:sz w:val="20"/>
              </w:rPr>
              <w:t>November 30, 2026</w:t>
            </w:r>
          </w:p>
        </w:tc>
      </w:tr>
      <w:tr>
        <w:tc>
          <w:tcPr>
            <w:tcW w:type="dxa" w:w="8640"/>
          </w:tcPr>
          <w:p>
            <w:r>
              <w:rPr>
                <w:sz w:val="20"/>
              </w:rPr>
              <w:t>Completion of Plant Installation</w:t>
            </w:r>
          </w:p>
        </w:tc>
        <w:tc>
          <w:tcPr>
            <w:tcW w:type="dxa" w:w="2160"/>
          </w:tcPr>
          <w:p>
            <w:pPr>
              <w:jc w:val="right"/>
            </w:pPr>
            <w:r>
              <w:rPr>
                <w:sz w:val="20"/>
              </w:rPr>
              <w:t>May 31, 2027</w:t>
            </w:r>
          </w:p>
        </w:tc>
      </w:tr>
      <w:tr>
        <w:tc>
          <w:tcPr>
            <w:tcW w:type="dxa" w:w="8640"/>
          </w:tcPr>
          <w:p>
            <w:r>
              <w:rPr>
                <w:sz w:val="20"/>
              </w:rPr>
              <w:t>Notification of Funding Restriction (NOFR) recorded</w:t>
            </w:r>
          </w:p>
        </w:tc>
        <w:tc>
          <w:tcPr>
            <w:tcW w:type="dxa" w:w="2160"/>
          </w:tcPr>
          <w:p>
            <w:pPr>
              <w:jc w:val="right"/>
            </w:pPr>
            <w:r>
              <w:rPr>
                <w:sz w:val="20"/>
              </w:rPr>
              <w:t>May 31, 2027</w:t>
            </w:r>
          </w:p>
        </w:tc>
      </w:tr>
    </w:tbl>
    <w:p/>
    <w:p>
      <w:pPr>
        <w:pStyle w:val="Heading3"/>
        <w:spacing w:after="60"/>
      </w:pPr>
      <w:r>
        <w:rPr>
          <w:b/>
          <w:color w:val="254885"/>
          <w:sz w:val="26"/>
        </w:rPr>
        <w:t>Activity 3: Ongoing Monitoring</w:t>
      </w:r>
    </w:p>
    <w:p>
      <w:r>
        <w:rPr>
          <w:b/>
        </w:rPr>
        <w:t xml:space="preserve">Activity Budget: </w:t>
      </w:r>
      <w:r>
        <w:t>$1,000</w:t>
      </w:r>
    </w:p>
    <w:p>
      <w:r>
        <w:rPr>
          <w:b/>
        </w:rPr>
        <w:t xml:space="preserve">Activity Description: </w:t>
        <w:br/>
      </w:r>
      <w:r>
        <w:t>A baseline plant survey will take place after germination in the first growing season after construction.  The only existing plant material on site is mown turf grass so a pre-construction survey is nor necessary. The area will be monitored for plant health and diversity for three years after construction, with annual plant surveys taking place for that same duration.  Initial survey work will be performed by the same consultant hired by MPRB under a competitive process to create the restoration plan.  Ongoing monitoring after the expiration of the grant will be managed by MPRB natural resources staff. The information gained from these studies will be made public on the MPRB website. A very limited ENRTF budget is provided for this Activity because it will be entirely match-funded. The on-line system requires a number be entered here.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Approximate Completion Date</w:t>
            </w:r>
          </w:p>
        </w:tc>
      </w:tr>
      <w:tr>
        <w:tc>
          <w:tcPr>
            <w:tcW w:type="dxa" w:w="8640"/>
          </w:tcPr>
          <w:p>
            <w:r>
              <w:rPr>
                <w:sz w:val="20"/>
              </w:rPr>
              <w:t>Post-Construction Plant Survey</w:t>
            </w:r>
          </w:p>
        </w:tc>
        <w:tc>
          <w:tcPr>
            <w:tcW w:type="dxa" w:w="2160"/>
          </w:tcPr>
          <w:p>
            <w:pPr>
              <w:jc w:val="right"/>
            </w:pPr>
            <w:r>
              <w:rPr>
                <w:sz w:val="20"/>
              </w:rPr>
              <w:t>June 30, 2027</w:t>
            </w:r>
          </w:p>
        </w:tc>
      </w:tr>
      <w:tr>
        <w:tc>
          <w:tcPr>
            <w:tcW w:type="dxa" w:w="8640"/>
          </w:tcPr>
          <w:p>
            <w:r>
              <w:rPr>
                <w:sz w:val="20"/>
              </w:rPr>
              <w:t>Commencement of Annual Plant Health Surveys and Ongoing Monitoring</w:t>
            </w:r>
          </w:p>
        </w:tc>
        <w:tc>
          <w:tcPr>
            <w:tcW w:type="dxa" w:w="2160"/>
          </w:tcPr>
          <w:p>
            <w:pPr>
              <w:jc w:val="right"/>
            </w:pPr>
            <w:r>
              <w:rPr>
                <w:sz w:val="20"/>
              </w:rPr>
              <w:t>June 30, 2027</w:t>
            </w:r>
          </w:p>
        </w:tc>
      </w:tr>
    </w:tbl>
    <w:p/>
    <w:p>
      <w:r>
        <w:br w:type="page"/>
      </w:r>
    </w:p>
    <w:p/>
    <w:p>
      <w:pPr>
        <w:pStyle w:val="Heading2"/>
        <w:spacing w:before="0" w:after="80"/>
      </w:pPr>
      <w:r>
        <w:rPr>
          <w:b/>
          <w:color w:val="2C559C"/>
          <w:sz w:val="28"/>
        </w:rPr>
        <w:t>Dissemination</w:t>
      </w:r>
    </w:p>
    <w:p>
      <w:r>
        <w:rPr>
          <w:b/>
        </w:rPr>
        <w:t xml:space="preserve">Describe your plans for dissemination, presentation, documentation, or sharing of data, results, samples, physical collections, and other products and how they will follow ENRTF Acknowledgement Requirements and Guidelines. </w:t>
        <w:br/>
      </w:r>
      <w:r>
        <w:t>MPRB performs significant community engagement alongside any capital improvement project, and this work will be no different. Multiple electronic notices, a project website, meetings with stakeholders, flyers, and attendance at local events and gatherings will inform the community about the project and solicit input on design elements.  During construction, on-site signage will describe the project.  All digital, print, and on-site materials will include the ENRTF logo, as required under state statute. Information on plant and animal surveys will be maintained on the project website for public view, then archived at MPRB to be available on request. Permanent signs will be installed on site acknowledging ENRTF.  The type and placement of these signs is yet to be determined at this early project stage.</w:t>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Long term maintenance and management will be performed by the Minneapolis Park and Recreation Board as part of its overall natural resources maintenance programs. Such activities do include paid staff work, volunteers, and partnerships with nonprofit organizations. Maintenance and management activities are funded by the MPRB tax levy and are supported by the state and Metropolitan Council through regional parks operations and maintenance (O&amp;M) funding. Additional work necessary after initial construction will be covered by the contractor's warranty and and will not require additional funding. Additional restoration and enhancement work after the warranty period will be funded by MPRB.</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Invasive Carp Management Research in Lake Nokomis Subwatershed</w:t>
            </w:r>
          </w:p>
        </w:tc>
        <w:tc>
          <w:tcPr>
            <w:tcW w:type="dxa" w:w="4680"/>
          </w:tcPr>
          <w:p>
            <w:r>
              <w:rPr>
                <w:sz w:val="20"/>
              </w:rPr>
              <w:t>M.L. 2016, Chp. 186, Sec. 2, Subd. 06g</w:t>
            </w:r>
          </w:p>
        </w:tc>
        <w:tc>
          <w:tcPr>
            <w:tcW w:type="dxa" w:w="1440"/>
          </w:tcPr>
          <w:p>
            <w:pPr>
              <w:jc w:val="right"/>
            </w:pPr>
            <w:r>
              <w:rPr>
                <w:sz w:val="20"/>
              </w:rPr>
              <w:t>$189,000</w:t>
            </w:r>
          </w:p>
        </w:tc>
      </w:tr>
      <w:tr>
        <w:tc>
          <w:tcPr>
            <w:tcW w:type="dxa" w:w="4680"/>
          </w:tcPr>
          <w:p>
            <w:r>
              <w:rPr>
                <w:sz w:val="20"/>
              </w:rPr>
              <w:t>Expanding Nature Knowledge and Experience with New Interactive Exhibits at North Mississippi Regional Park</w:t>
            </w:r>
          </w:p>
        </w:tc>
        <w:tc>
          <w:tcPr>
            <w:tcW w:type="dxa" w:w="4680"/>
          </w:tcPr>
          <w:p>
            <w:r>
              <w:rPr>
                <w:sz w:val="20"/>
              </w:rPr>
              <w:t>M.L. 2018, Chp. 214, Art. 4, Sec. 2, Subd. 05h</w:t>
            </w:r>
          </w:p>
        </w:tc>
        <w:tc>
          <w:tcPr>
            <w:tcW w:type="dxa" w:w="1440"/>
          </w:tcPr>
          <w:p>
            <w:pPr>
              <w:jc w:val="right"/>
            </w:pPr>
            <w:r>
              <w:rPr>
                <w:sz w:val="20"/>
              </w:rPr>
              <w:t>$500,000</w:t>
            </w:r>
          </w:p>
        </w:tc>
      </w:tr>
      <w:tr>
        <w:tc>
          <w:tcPr>
            <w:tcW w:type="dxa" w:w="4680"/>
          </w:tcPr>
          <w:p>
            <w:r>
              <w:rPr>
                <w:sz w:val="20"/>
              </w:rPr>
              <w:t>Above The Falls Regional Park Acquisition</w:t>
            </w:r>
          </w:p>
        </w:tc>
        <w:tc>
          <w:tcPr>
            <w:tcW w:type="dxa" w:w="4680"/>
          </w:tcPr>
          <w:p>
            <w:r>
              <w:rPr>
                <w:sz w:val="20"/>
              </w:rPr>
              <w:t>M.L. 2021, First Special Session, Chp. 6, Art. 6, Sec. 2, Subd. 09q</w:t>
            </w:r>
          </w:p>
        </w:tc>
        <w:tc>
          <w:tcPr>
            <w:tcW w:type="dxa" w:w="1440"/>
          </w:tcPr>
          <w:p>
            <w:pPr>
              <w:jc w:val="right"/>
            </w:pPr>
            <w:r>
              <w:rPr>
                <w:sz w:val="20"/>
              </w:rPr>
              <w:t>$950,000</w:t>
            </w:r>
          </w:p>
        </w:tc>
      </w:tr>
      <w:tr>
        <w:tc>
          <w:tcPr>
            <w:tcW w:type="dxa" w:w="4680"/>
          </w:tcPr>
          <w:p>
            <w:r>
              <w:rPr>
                <w:sz w:val="20"/>
              </w:rPr>
              <w:t>Bohemian Flats Savanna Restoration</w:t>
            </w:r>
          </w:p>
        </w:tc>
        <w:tc>
          <w:tcPr>
            <w:tcW w:type="dxa" w:w="4680"/>
          </w:tcPr>
          <w:p>
            <w:r>
              <w:rPr>
                <w:sz w:val="20"/>
              </w:rPr>
              <w:t>M.L. 2022, , Chp. 94, Art. , Sec. 2, Subd. 08i</w:t>
            </w:r>
          </w:p>
        </w:tc>
        <w:tc>
          <w:tcPr>
            <w:tcW w:type="dxa" w:w="1440"/>
          </w:tcPr>
          <w:p>
            <w:pPr>
              <w:jc w:val="right"/>
            </w:pPr>
            <w:r>
              <w:rPr>
                <w:sz w:val="20"/>
              </w:rPr>
              <w:t>$286,000</w:t>
            </w:r>
          </w:p>
        </w:tc>
      </w:tr>
      <w:tr>
        <w:tc>
          <w:tcPr>
            <w:tcW w:type="dxa" w:w="4680"/>
          </w:tcPr>
          <w:p>
            <w:r>
              <w:rPr>
                <w:sz w:val="20"/>
              </w:rPr>
              <w:t>Bioblitz Urban Parks: Engaging Communities in Scientific Efforts</w:t>
            </w:r>
          </w:p>
        </w:tc>
        <w:tc>
          <w:tcPr>
            <w:tcW w:type="dxa" w:w="4680"/>
          </w:tcPr>
          <w:p>
            <w:r>
              <w:rPr>
                <w:sz w:val="20"/>
              </w:rPr>
              <w:t>M.L. 2023, , Chp. 60, Art. 2, Sec. 2, Subd. 05h</w:t>
            </w:r>
          </w:p>
        </w:tc>
        <w:tc>
          <w:tcPr>
            <w:tcW w:type="dxa" w:w="1440"/>
          </w:tcPr>
          <w:p>
            <w:pPr>
              <w:jc w:val="right"/>
            </w:pPr>
            <w:r>
              <w:rPr>
                <w:sz w:val="20"/>
              </w:rPr>
              <w:t>$198,000</w:t>
            </w:r>
          </w:p>
        </w:tc>
      </w:tr>
      <w:tr>
        <w:tc>
          <w:tcPr>
            <w:tcW w:type="dxa" w:w="4680"/>
          </w:tcPr>
          <w:p>
            <w:r>
              <w:rPr>
                <w:sz w:val="20"/>
              </w:rPr>
              <w:t>Enhancing Habitat Connectivity within the Urban Mississippi Flyway</w:t>
            </w:r>
          </w:p>
        </w:tc>
        <w:tc>
          <w:tcPr>
            <w:tcW w:type="dxa" w:w="4680"/>
          </w:tcPr>
          <w:p>
            <w:r>
              <w:rPr>
                <w:sz w:val="20"/>
              </w:rPr>
              <w:t>M.L. 2023, , Chp. 60, Art. 2, Sec. 2, Subd. 08p</w:t>
            </w:r>
          </w:p>
        </w:tc>
        <w:tc>
          <w:tcPr>
            <w:tcW w:type="dxa" w:w="1440"/>
          </w:tcPr>
          <w:p>
            <w:pPr>
              <w:jc w:val="right"/>
            </w:pPr>
            <w:r>
              <w:rPr>
                <w:sz w:val="20"/>
              </w:rPr>
              <w:t>$190,000</w:t>
            </w:r>
          </w:p>
        </w:tc>
      </w:tr>
      <w:tr>
        <w:tc>
          <w:tcPr>
            <w:tcW w:type="dxa" w:w="4680"/>
          </w:tcPr>
          <w:p>
            <w:r>
              <w:rPr>
                <w:sz w:val="20"/>
              </w:rPr>
              <w:t>Above the Falls Park Acquisition and Restoration Planning</w:t>
            </w:r>
          </w:p>
        </w:tc>
        <w:tc>
          <w:tcPr>
            <w:tcW w:type="dxa" w:w="4680"/>
          </w:tcPr>
          <w:p>
            <w:r>
              <w:rPr>
                <w:sz w:val="20"/>
              </w:rPr>
              <w:t>M.L. 2023, , Chp. 60, Art. 2, Sec. 2, Subd. 09m</w:t>
            </w:r>
          </w:p>
        </w:tc>
        <w:tc>
          <w:tcPr>
            <w:tcW w:type="dxa" w:w="1440"/>
          </w:tcPr>
          <w:p>
            <w:pPr>
              <w:jc w:val="right"/>
            </w:pPr>
            <w:r>
              <w:rPr>
                <w:sz w:val="20"/>
              </w:rPr>
              <w:t>$1,376,000</w:t>
            </w:r>
          </w:p>
        </w:tc>
      </w:tr>
    </w:tbl>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Construction Contractor to be determined</w:t>
            </w:r>
          </w:p>
        </w:tc>
        <w:tc>
          <w:tcPr>
            <w:tcW w:type="dxa" w:w="1440"/>
          </w:tcPr>
          <w:p>
            <w:r>
              <w:rPr>
                <w:sz w:val="20"/>
              </w:rPr>
              <w:t>Service Contract</w:t>
            </w:r>
          </w:p>
        </w:tc>
        <w:tc>
          <w:tcPr>
            <w:tcW w:type="dxa" w:w="5472"/>
          </w:tcPr>
          <w:p>
            <w:r>
              <w:rPr>
                <w:sz w:val="20"/>
              </w:rPr>
              <w:t>Contractor will be selected by competitive bid and will perform all construction work, as directed by the approved construction plans. Contractor and hired sub-contractors will provide site preparation, planting, erosion control, and other construction tasks.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w:t>
            </w:r>
          </w:p>
        </w:tc>
        <w:tc>
          <w:tcPr>
            <w:tcW w:type="dxa" w:w="360"/>
          </w:tcPr>
          <w:p>
            <w:r>
              <w:rPr>
                <w:sz w:val="20"/>
              </w:rPr>
            </w:r>
          </w:p>
        </w:tc>
        <w:tc>
          <w:tcPr>
            <w:tcW w:type="dxa" w:w="1152"/>
          </w:tcPr>
          <w:p>
            <w:pPr>
              <w:jc w:val="right"/>
            </w:pPr>
            <w:r>
              <w:rPr>
                <w:sz w:val="20"/>
              </w:rPr>
              <w:t>$767,000</w:t>
            </w:r>
          </w:p>
        </w:tc>
      </w:tr>
      <w:tr>
        <w:tc>
          <w:tcPr>
            <w:tcW w:type="dxa" w:w="864"/>
          </w:tcPr>
          <w:p>
            <w:r>
              <w:rPr>
                <w:sz w:val="20"/>
              </w:rPr>
              <w:t>Restoration Professional to be determined</w:t>
            </w:r>
          </w:p>
        </w:tc>
        <w:tc>
          <w:tcPr>
            <w:tcW w:type="dxa" w:w="1440"/>
          </w:tcPr>
          <w:p>
            <w:r>
              <w:rPr>
                <w:sz w:val="20"/>
              </w:rPr>
              <w:t>Service Contract</w:t>
            </w:r>
          </w:p>
        </w:tc>
        <w:tc>
          <w:tcPr>
            <w:tcW w:type="dxa" w:w="5472"/>
          </w:tcPr>
          <w:p>
            <w:r>
              <w:rPr>
                <w:sz w:val="20"/>
              </w:rPr>
              <w:t>Working as part of an overall design team, the restoration professional will prepare a restoration plan that will be included in the construction documents for the project, will provide some construction administration services, and will prepare initial plant surveys upon project completion.</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0.8</w:t>
            </w:r>
          </w:p>
        </w:tc>
        <w:tc>
          <w:tcPr>
            <w:tcW w:type="dxa" w:w="360"/>
          </w:tcPr>
          <w:p>
            <w:r>
              <w:rPr>
                <w:sz w:val="20"/>
              </w:rPr>
            </w:r>
          </w:p>
        </w:tc>
        <w:tc>
          <w:tcPr>
            <w:tcW w:type="dxa" w:w="1152"/>
          </w:tcPr>
          <w:p>
            <w:pPr>
              <w:jc w:val="right"/>
            </w:pPr>
            <w:r>
              <w:rPr>
                <w:sz w:val="20"/>
              </w:rPr>
              <w:t>$52,000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$819,000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$819,000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 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Regional Parks Modernization funds, granted by the state in 2023</w:t>
            </w:r>
          </w:p>
        </w:tc>
        <w:tc>
          <w:tcPr>
            <w:tcW w:type="dxa" w:w="6120"/>
          </w:tcPr>
          <w:p>
            <w:r>
              <w:rPr>
                <w:sz w:val="20"/>
              </w:rPr>
              <w:t>MPRB will utilize a portion of its Modernizing Parks funds to restore and enhance approximately 1.8 miles of shoreline.  This funding will pay for staff time, some consulting time, and a large portion of the construction costs.</w:t>
            </w:r>
          </w:p>
        </w:tc>
        <w:tc>
          <w:tcPr>
            <w:tcW w:type="dxa" w:w="1080"/>
          </w:tcPr>
          <w:p>
            <w:r>
              <w:rPr>
                <w:sz w:val="20"/>
              </w:rPr>
              <w:t>Secured</w:t>
            </w:r>
          </w:p>
        </w:tc>
        <w:tc>
          <w:tcPr>
            <w:tcW w:type="dxa" w:w="1440"/>
          </w:tcPr>
          <w:p>
            <w:pPr>
              <w:jc w:val="right"/>
            </w:pPr>
            <w:r>
              <w:rPr>
                <w:sz w:val="20"/>
              </w:rPr>
              <w:t>$1,900,000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$1,900,000</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$1,900,000</w:t>
            </w:r>
          </w:p>
        </w:tc>
      </w:tr>
    </w:tbl>
    <w:p/>
    <w:p>
      <w:r>
        <w:rPr>
          <w:b/>
        </w:rPr>
        <w:t>Total Project Cost: $2,719,000</w:t>
      </w:r>
    </w:p>
    <w:p>
      <w:r>
        <w:rPr>
          <w:b/>
        </w:rPr>
        <w:t>This amount accurately reflects total project cost?</w:t>
      </w:r>
      <w:r>
        <w:br/>
        <w:tab/>
        <w:t>Yes</w:t>
      </w:r>
    </w:p>
    <w:p>
      <w:r>
        <w:br w:type="page"/>
      </w:r>
    </w:p>
    <w:p>
      <w:pPr>
        <w:pStyle w:val="Heading2"/>
        <w:spacing w:before="0" w:after="80"/>
      </w:pPr>
      <w:r>
        <w:rPr>
          <w:b/>
          <w:color w:val="2C559C"/>
          <w:sz w:val="28"/>
        </w:rPr>
        <w:t>Acquisition and Restoration</w:t>
      </w:r>
    </w:p>
    <w:p>
      <w:pPr>
        <w:pStyle w:val="Heading3"/>
        <w:spacing w:after="60"/>
      </w:pPr>
      <w:r>
        <w:rPr>
          <w:b/>
          <w:color w:val="254885"/>
          <w:sz w:val="26"/>
        </w:rPr>
        <w:t>Parcel List</w:t>
      </w:r>
    </w:p>
    <w:tbl>
      <w:tblPr>
        <w:tblStyle w:val="TableGrid"/>
        <w:tblW w:type="auto" w:w="0"/>
        <w:tblLook w:firstColumn="1" w:firstRow="1" w:lastColumn="0" w:lastRow="0" w:noHBand="0" w:noVBand="1" w:val="04A0"/>
      </w:tblPr>
      <w:tblGrid>
        <w:gridCol w:w="1440"/>
        <w:gridCol w:w="1440"/>
        <w:gridCol w:w="1440"/>
        <w:gridCol w:w="1440"/>
        <w:gridCol w:w="1440"/>
        <w:gridCol w:w="1440"/>
        <w:gridCol w:w="1440"/>
        <w:gridCol w:w="1440"/>
        <w:gridCol w:w="1440"/>
        <w:gridCol w:w="1440"/>
      </w:tblGrid>
      <w:tr>
        <w:tc>
          <w:tcPr>
            <w:tcW w:type="dxa" w:w="2160"/>
            <w:shd w:fill="#BDCAFF"/>
          </w:tcPr>
          <w:p>
            <w:pPr>
              <w:jc w:val="left"/>
            </w:pPr>
            <w:r>
              <w:rPr>
                <w:b/>
                <w:color w:val="000000"/>
                <w:sz w:val="20"/>
              </w:rPr>
              <w:t>Name</w:t>
            </w:r>
          </w:p>
        </w:tc>
        <w:tc>
          <w:tcPr>
            <w:tcW w:type="dxa" w:w="1440"/>
            <w:shd w:fill="#BDCAFF"/>
          </w:tcPr>
          <w:p>
            <w:pPr>
              <w:jc w:val="left"/>
            </w:pPr>
            <w:r>
              <w:rPr>
                <w:b/>
                <w:color w:val="000000"/>
                <w:sz w:val="20"/>
              </w:rPr>
              <w:t>County</w:t>
            </w:r>
          </w:p>
        </w:tc>
        <w:tc>
          <w:tcPr>
            <w:tcW w:type="dxa" w:w="3888"/>
            <w:shd w:fill="#BDCAFF"/>
          </w:tcPr>
          <w:p>
            <w:pPr>
              <w:jc w:val="left"/>
            </w:pPr>
            <w:r>
              <w:rPr>
                <w:b/>
                <w:color w:val="000000"/>
                <w:sz w:val="20"/>
              </w:rPr>
              <w:t>Site Significance</w:t>
            </w:r>
          </w:p>
        </w:tc>
        <w:tc>
          <w:tcPr>
            <w:tcW w:type="dxa" w:w="1080"/>
            <w:shd w:fill="#BDCAFF"/>
          </w:tcPr>
          <w:p>
            <w:pPr>
              <w:jc w:val="left"/>
            </w:pPr>
            <w:r>
              <w:rPr>
                <w:b/>
                <w:color w:val="000000"/>
                <w:sz w:val="20"/>
              </w:rPr>
              <w:t>Activity</w:t>
            </w:r>
          </w:p>
        </w:tc>
        <w:tc>
          <w:tcPr>
            <w:tcW w:type="dxa" w:w="432"/>
            <w:shd w:fill="#BDCAFF"/>
          </w:tcPr>
          <w:p>
            <w:pPr>
              <w:jc w:val="left"/>
            </w:pPr>
            <w:r>
              <w:rPr>
                <w:b/>
                <w:color w:val="000000"/>
                <w:sz w:val="20"/>
              </w:rPr>
              <w:t>Acres</w:t>
            </w:r>
          </w:p>
        </w:tc>
        <w:tc>
          <w:tcPr>
            <w:tcW w:type="dxa" w:w="432"/>
            <w:shd w:fill="#BDCAFF"/>
          </w:tcPr>
          <w:p>
            <w:pPr>
              <w:jc w:val="left"/>
            </w:pPr>
            <w:r>
              <w:rPr>
                <w:b/>
                <w:color w:val="000000"/>
                <w:sz w:val="20"/>
              </w:rPr>
              <w:t>Miles</w:t>
            </w:r>
          </w:p>
        </w:tc>
        <w:tc>
          <w:tcPr>
            <w:tcW w:type="dxa" w:w="1080"/>
            <w:shd w:fill="#BDCAFF"/>
          </w:tcPr>
          <w:p>
            <w:pPr>
              <w:jc w:val="left"/>
            </w:pPr>
            <w:r>
              <w:rPr>
                <w:b/>
                <w:color w:val="000000"/>
                <w:sz w:val="20"/>
              </w:rPr>
              <w:t>Estimated Cost</w:t>
            </w:r>
          </w:p>
        </w:tc>
        <w:tc>
          <w:tcPr>
            <w:tcW w:type="dxa" w:w="1080"/>
            <w:shd w:fill="#BDCAFF"/>
          </w:tcPr>
          <w:p>
            <w:pPr>
              <w:jc w:val="left"/>
            </w:pPr>
            <w:r>
              <w:rPr>
                <w:b/>
                <w:color w:val="000000"/>
                <w:sz w:val="20"/>
              </w:rPr>
              <w:t>Type of Landowner</w:t>
            </w:r>
          </w:p>
        </w:tc>
        <w:tc>
          <w:tcPr>
            <w:tcW w:type="dxa" w:w="1728"/>
            <w:shd w:fill="#BDCAFF"/>
          </w:tcPr>
          <w:p>
            <w:pPr>
              <w:jc w:val="left"/>
            </w:pPr>
            <w:r>
              <w:rPr>
                <w:b/>
                <w:color w:val="000000"/>
                <w:sz w:val="20"/>
              </w:rPr>
              <w:t>Easement or Title Holder</w:t>
            </w:r>
          </w:p>
        </w:tc>
        <w:tc>
          <w:tcPr>
            <w:tcW w:type="dxa" w:w="1080"/>
            <w:shd w:fill="#BDCAFF"/>
          </w:tcPr>
          <w:p>
            <w:pPr>
              <w:jc w:val="left"/>
            </w:pPr>
            <w:r>
              <w:rPr>
                <w:b/>
                <w:color w:val="000000"/>
                <w:sz w:val="20"/>
              </w:rPr>
              <w:t>Status of Work</w:t>
            </w:r>
          </w:p>
        </w:tc>
      </w:tr>
      <w:tr>
        <w:tc>
          <w:tcPr>
            <w:tcW w:type="dxa" w:w="2160"/>
          </w:tcPr>
          <w:p>
            <w:r>
              <w:rPr>
                <w:sz w:val="20"/>
              </w:rPr>
              <w:t>Minneapolis Chain of Lakes Regional Park</w:t>
            </w:r>
          </w:p>
        </w:tc>
        <w:tc>
          <w:tcPr>
            <w:tcW w:type="dxa" w:w="1440"/>
          </w:tcPr>
          <w:p>
            <w:r>
              <w:rPr>
                <w:sz w:val="20"/>
              </w:rPr>
              <w:t>Hennepin</w:t>
            </w:r>
          </w:p>
        </w:tc>
        <w:tc>
          <w:tcPr>
            <w:tcW w:type="dxa" w:w="3888"/>
          </w:tcPr>
          <w:p>
            <w:r>
              <w:rPr>
                <w:sz w:val="20"/>
              </w:rPr>
              <w:t>Degraded shoreline with potential for restoration. This property is a public park in Minneapolis</w:t>
            </w:r>
          </w:p>
        </w:tc>
        <w:tc>
          <w:tcPr>
            <w:tcW w:type="dxa" w:w="1080"/>
          </w:tcPr>
          <w:p>
            <w:r>
              <w:rPr>
                <w:sz w:val="20"/>
              </w:rPr>
              <w:t>Restoration</w:t>
            </w:r>
          </w:p>
        </w:tc>
        <w:tc>
          <w:tcPr>
            <w:tcW w:type="dxa" w:w="432"/>
          </w:tcPr>
          <w:p>
            <w:pPr>
              <w:jc w:val="right"/>
            </w:pPr>
            <w:r>
              <w:rPr>
                <w:sz w:val="20"/>
              </w:rPr>
              <w:t>12</w:t>
            </w:r>
          </w:p>
        </w:tc>
        <w:tc>
          <w:tcPr>
            <w:tcW w:type="dxa" w:w="432"/>
          </w:tcPr>
          <w:p>
            <w:pPr>
              <w:jc w:val="right"/>
            </w:pPr>
            <w:r>
              <w:rPr>
                <w:sz w:val="20"/>
              </w:rPr>
              <w:t>2.75</w:t>
            </w:r>
          </w:p>
        </w:tc>
        <w:tc>
          <w:tcPr>
            <w:tcW w:type="dxa" w:w="1080"/>
          </w:tcPr>
          <w:p>
            <w:pPr>
              <w:jc w:val="right"/>
            </w:pPr>
            <w:r>
              <w:rPr>
                <w:sz w:val="20"/>
              </w:rPr>
              <w:t>-</w:t>
            </w:r>
          </w:p>
        </w:tc>
        <w:tc>
          <w:tcPr>
            <w:tcW w:type="dxa" w:w="1080"/>
          </w:tcPr>
          <w:p>
            <w:r>
              <w:rPr>
                <w:sz w:val="20"/>
              </w:rPr>
              <w:t>Public</w:t>
            </w:r>
          </w:p>
        </w:tc>
        <w:tc>
          <w:tcPr>
            <w:tcW w:type="dxa" w:w="1728"/>
          </w:tcPr>
          <w:p>
            <w:r>
              <w:rPr>
                <w:sz w:val="20"/>
              </w:rPr>
              <w:t>Minneapolis Park and Recreation Board</w:t>
            </w:r>
          </w:p>
        </w:tc>
        <w:tc>
          <w:tcPr>
            <w:tcW w:type="dxa" w:w="1080"/>
          </w:tcPr>
          <w:p>
            <w:r>
              <w:rPr>
                <w:sz w:val="20"/>
              </w:rPr>
              <w:t>Has Not Begun</w:t>
            </w:r>
          </w:p>
        </w:tc>
      </w:tr>
      <w:tr>
        <w:tc>
          <w:tcPr>
            <w:tcW w:type="dxa" w:w="2160"/>
            <w:shd w:fill="#eeeeee"/>
          </w:tcPr>
          <w:p>
            <w:r>
              <w:rPr>
                <w:b/>
                <w:color w:val="000000"/>
                <w:sz w:val="20"/>
              </w:rPr>
              <w:t>Totals</w:t>
            </w:r>
          </w:p>
        </w:tc>
        <w:tc>
          <w:tcPr>
            <w:tcW w:type="dxa" w:w="1440"/>
            <w:shd w:fill="#eeeeee"/>
          </w:tcPr>
          <w:p>
            <w:r>
              <w:rPr>
                <w:sz w:val="20"/>
              </w:rPr>
            </w:r>
          </w:p>
        </w:tc>
        <w:tc>
          <w:tcPr>
            <w:tcW w:type="dxa" w:w="3888"/>
            <w:shd w:fill="#eeeeee"/>
          </w:tcPr>
          <w:p>
            <w:r>
              <w:rPr>
                <w:sz w:val="20"/>
              </w:rPr>
            </w:r>
          </w:p>
        </w:tc>
        <w:tc>
          <w:tcPr>
            <w:tcW w:type="dxa" w:w="1080"/>
            <w:shd w:fill="#eeeeee"/>
          </w:tcPr>
          <w:p>
            <w:r>
              <w:rPr>
                <w:sz w:val="20"/>
              </w:rPr>
            </w:r>
          </w:p>
        </w:tc>
        <w:tc>
          <w:tcPr>
            <w:tcW w:type="dxa" w:w="432"/>
            <w:shd w:fill="#eeeeee"/>
          </w:tcPr>
          <w:p>
            <w:pPr>
              <w:jc w:val="right"/>
            </w:pPr>
            <w:r>
              <w:rPr>
                <w:b/>
                <w:color w:val="000000"/>
                <w:sz w:val="20"/>
              </w:rPr>
              <w:t>12</w:t>
            </w:r>
          </w:p>
        </w:tc>
        <w:tc>
          <w:tcPr>
            <w:tcW w:type="dxa" w:w="432"/>
            <w:shd w:fill="#eeeeee"/>
          </w:tcPr>
          <w:p>
            <w:pPr>
              <w:jc w:val="right"/>
            </w:pPr>
            <w:r>
              <w:rPr>
                <w:b/>
                <w:color w:val="000000"/>
                <w:sz w:val="20"/>
              </w:rPr>
              <w:t>2.75</w:t>
            </w:r>
          </w:p>
        </w:tc>
        <w:tc>
          <w:tcPr>
            <w:tcW w:type="dxa" w:w="1080"/>
            <w:shd w:fill="#eeeeee"/>
          </w:tcPr>
          <w:p>
            <w:pPr>
              <w:jc w:val="right"/>
            </w:pPr>
            <w:r>
              <w:rPr>
                <w:b/>
                <w:color w:val="000000"/>
                <w:sz w:val="20"/>
              </w:rPr>
              <w:t>-</w:t>
            </w:r>
          </w:p>
        </w:tc>
        <w:tc>
          <w:tcPr>
            <w:tcW w:type="dxa" w:w="1080"/>
            <w:shd w:fill="#eeeeee"/>
          </w:tcPr>
          <w:p>
            <w:r>
              <w:rPr>
                <w:sz w:val="20"/>
              </w:rPr>
            </w:r>
          </w:p>
        </w:tc>
        <w:tc>
          <w:tcPr>
            <w:tcW w:type="dxa" w:w="1728"/>
            <w:shd w:fill="#eeeeee"/>
          </w:tcPr>
          <w:p>
            <w:r>
              <w:rPr>
                <w:sz w:val="20"/>
              </w:rPr>
            </w:r>
          </w:p>
        </w:tc>
        <w:tc>
          <w:tcPr>
            <w:tcW w:type="dxa" w:w="1080"/>
            <w:shd w:fill="#eeeeee"/>
          </w:tcPr>
          <w:p>
            <w:r>
              <w:rPr>
                <w:sz w:val="20"/>
              </w:rPr>
            </w:r>
          </w:p>
        </w:tc>
      </w:tr>
    </w:tbl>
    <w:p>
      <w:pPr>
        <w:sectPr>
          <w:pgSz w:w="15840" w:h="12240" w:orient="landscape"/>
          <w:pgMar w:top="720" w:right="720" w:bottom="720" w:left="720" w:header="720" w:footer="720" w:gutter="0"/>
          <w:cols w:space="720"/>
          <w:docGrid w:linePitch="360"/>
        </w:sectPr>
      </w:pPr>
    </w:p>
    <w:p>
      <w:pPr>
        <w:pStyle w:val="Heading3"/>
        <w:spacing w:after="60"/>
      </w:pPr>
      <w:r>
        <w:rPr>
          <w:b/>
          <w:color w:val="254885"/>
          <w:sz w:val="26"/>
        </w:rPr>
        <w:t>Restoration</w:t>
      </w:r>
    </w:p>
    <w:p>
      <w:r>
        <w:rPr>
          <w:b/>
        </w:rPr>
        <w:t xml:space="preserve">1. Provide a statement confirming that all restoration activities completed with these funds will occur on land permanently protected by a conservation easement or public ownership. </w:t>
        <w:br/>
      </w:r>
      <w:r>
        <w:t>All restoration activities will occur on land permanently in public ownership (owned by the Minneapolis Park and Recreation Board).</w:t>
      </w:r>
    </w:p>
    <w:p>
      <w:r>
        <w:rPr>
          <w:b/>
        </w:rPr>
        <w:t xml:space="preserve">2. Summarize the components and expected outcomes of restoration and management plans for the parcels to be restored by your organization, how these plans are kept on file by your organization, and overall strategies for long-term plan implementation. </w:t>
        <w:br/>
      </w:r>
      <w:r>
        <w:t>Components of the restoration and management plan will include a description of current conditions, with a focus on soil type and quality (no native vegetation currently exists on the site); description of the target restoration community, an shoreline system including emergent and upland species; a timeline for restoration; and guidance for ongoing management of the restored areas. The restoration plan will be included in the creation of construction plans for the project and will guide both construction and ongoing management. This plan will be kept both in MPRB staff project files and in the MPRB archive, as well as posted publicly on the MPRB website.</w:t>
      </w:r>
    </w:p>
    <w:p>
      <w:r>
        <w:rPr>
          <w:b/>
        </w:rPr>
        <w:t xml:space="preserve">3. Describe how restoration efforts will utilize and follow the Board of Soil and Water Resources “Native Vegetation Establishment and Enhancement Guidelines” in order to ensure ecological integrity and pollinator enhancement. </w:t>
        <w:br/>
      </w:r>
      <w:r>
        <w:t>MPRB and its partners will fully utilize BWSR’s guidance document.  Because this project occurs in an urban site but envisions a savanna plant community, we expect that the recommended number of plant species will be on high end of the "Disturbed Sites" row according to the “Minimum Recommended Number of Species” matrix (p.8).  The project will utilize and source seed as recommended for the project location (Ecological Section 8, Big Woods Subsection). Primary project type guidance will come from the section on lakeshores.</w:t>
      </w:r>
    </w:p>
    <w:p>
      <w:r>
        <w:rPr>
          <w:b/>
        </w:rPr>
        <w:t xml:space="preserve">4. Describe how the long-term maintenance and management needs of the parcel being restored with these funds will be met and financed into the future. </w:t>
        <w:br/>
      </w:r>
      <w:r>
        <w:t>Long term maintenance and management will be performed by the Minneapolis Park and Recreation Board as part of its overall natural resources maintenance programs.  Such activities do include paid staff work, volunteers, and partnerships with nonprofit organizations. Maintenance and management activities are funded by the MPRB tax levy and are supported by the state and Metropolitan Council through regional parks operations and maintenance (O&amp;M) funding.</w:t>
      </w:r>
    </w:p>
    <w:p>
      <w:r>
        <w:rPr>
          <w:b/>
        </w:rPr>
        <w:t xml:space="preserve">5. Describe how consideration will be given to contracting with Conservation Corps of Minnesota for any restoration activities. </w:t>
        <w:br/>
      </w:r>
      <w:r>
        <w:t>Prior to the commencement of construction activities, the project manager will contact the Conservation Corps of Minnesota to determine desire and availability to perform applicable work.</w:t>
      </w:r>
    </w:p>
    <w:p>
      <w:r>
        <w:rPr>
          <w:b/>
        </w:rPr>
        <w:t xml:space="preserve">6. Provide a statement indicating that evaluations will be completed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w:t>
        <w:br/>
      </w:r>
      <w:r>
        <w:t>As described in Activity 3, evaluations of plant germination and ongoing health will be performed after the first germination after construction, and then annually for three years. Though this timeline expends beyond the allowable grant window, this work will be accomplished by MPRB natural resources staff. Analyses will focus on the long term viability of the restoration and will recommend corrections if problems arise.  The three-year summary report will be made public on the MPRB website.</w:t>
      </w:r>
    </w:p>
    <w:p>
      <w:r>
        <w:br w:type="page"/>
      </w: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Map</w:t>
      </w:r>
    </w:p>
    <w:p>
      <w:r>
        <w:t xml:space="preserve">File: </w:t>
      </w:r>
      <w:r>
        <w:rPr>
          <w:color w:val="000000" w:themeColor="hyperlink"/>
          <w:u w:val="single"/>
        </w:rPr>
        <w:hyperlink r:id="rId12">
          <w:r>
            <w:rPr/>
            <w:t>b64429d7-daa.pdf</w:t>
          </w:r>
        </w:hyperlink>
      </w:r>
    </w:p>
    <w:p>
      <w:pPr>
        <w:pStyle w:val="Heading4"/>
        <w:spacing w:before="40" w:after="20"/>
      </w:pPr>
      <w:r>
        <w:rPr>
          <w:b/>
          <w:i/>
          <w:color w:val="000000"/>
          <w:sz w:val="24"/>
        </w:rPr>
        <w:t>Alternate Text for Map</w:t>
      </w:r>
    </w:p>
    <w:p>
      <w:r>
        <w:t>Aerial photograph with Chain of Lakes lakeshore identified...</w:t>
      </w:r>
    </w:p>
    <w:p>
      <w:pPr>
        <w:pStyle w:val="Heading4"/>
        <w:spacing w:before="40" w:after="20"/>
      </w:pPr>
      <w:r>
        <w:rPr>
          <w:b/>
          <w:i/>
          <w:color w:val="000000"/>
          <w:sz w:val="24"/>
        </w:rPr>
        <w:t>Financial Capacity</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MPRB Financial Report</w:t>
            </w:r>
          </w:p>
        </w:tc>
        <w:tc>
          <w:tcPr>
            <w:tcW w:type="dxa" w:w="5400"/>
          </w:tcPr>
          <w:p>
            <w:r>
              <w:rPr>
                <w:sz w:val="20"/>
              </w:rPr>
            </w:r>
            <w:r>
              <w:rPr>
                <w:color w:val="000000" w:themeColor="hyperlink"/>
                <w:sz w:val="20"/>
                <w:u w:val="single"/>
              </w:rPr>
              <w:hyperlink r:id="rId13">
                <w:r>
                  <w:rPr/>
                  <w:t>9a73653f-920.pdf</w:t>
                </w:r>
              </w:hyperlink>
            </w:r>
          </w:p>
        </w:tc>
      </w:tr>
    </w:tbl>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Resolution 2024-48: Passed 3/20/24, fully executed</w:t>
            </w:r>
          </w:p>
        </w:tc>
        <w:tc>
          <w:tcPr>
            <w:tcW w:type="dxa" w:w="5400"/>
          </w:tcPr>
          <w:p>
            <w:r>
              <w:rPr>
                <w:sz w:val="20"/>
              </w:rPr>
            </w:r>
            <w:r>
              <w:rPr>
                <w:color w:val="000000" w:themeColor="hyperlink"/>
                <w:sz w:val="20"/>
                <w:u w:val="single"/>
              </w:rPr>
              <w:hyperlink r:id="rId14">
                <w:r>
                  <w:rPr/>
                  <w:t>a7699911-fd1.pdf</w:t>
                </w:r>
              </w:hyperlink>
            </w:r>
          </w:p>
        </w:tc>
      </w:tr>
    </w:tbl>
    <w:p>
      <w:pPr>
        <w:pStyle w:val="Heading3"/>
        <w:spacing w:after="60"/>
      </w:pPr>
      <w:r>
        <w:rPr>
          <w:b/>
          <w:color w:val="254885"/>
          <w:sz w:val="26"/>
        </w:rPr>
        <w:t>Supplemental Attachments</w:t>
      </w:r>
    </w:p>
    <w:p>
      <w:pPr>
        <w:pStyle w:val="Heading4"/>
        <w:spacing w:before="40" w:after="20"/>
      </w:pPr>
      <w:r>
        <w:rPr>
          <w:b/>
          <w:i/>
          <w:color w:val="000000"/>
          <w:sz w:val="24"/>
        </w:rPr>
        <w:t>Capital Project Questionnaire, Budget Supplements, Support Letter, Photos, Media,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Budget Addendum_Received post-close</w:t>
            </w:r>
          </w:p>
        </w:tc>
        <w:tc>
          <w:tcPr>
            <w:tcW w:type="dxa" w:w="5400"/>
          </w:tcPr>
          <w:p>
            <w:r>
              <w:rPr>
                <w:sz w:val="20"/>
              </w:rPr>
            </w:r>
            <w:r>
              <w:rPr>
                <w:color w:val="000000" w:themeColor="hyperlink"/>
                <w:sz w:val="20"/>
                <w:u w:val="single"/>
              </w:rPr>
              <w:hyperlink r:id="rId15">
                <w:r>
                  <w:rPr/>
                  <w:t>01ea973a-0da.xlsx</w:t>
                </w:r>
              </w:hyperlink>
            </w:r>
          </w:p>
        </w:tc>
      </w:tr>
      <w:tr>
        <w:tc>
          <w:tcPr>
            <w:tcW w:type="dxa" w:w="5400"/>
          </w:tcPr>
          <w:p>
            <w:r>
              <w:rPr>
                <w:sz w:val="20"/>
              </w:rPr>
              <w:t>Construction Questionnaire_Received post-close</w:t>
            </w:r>
          </w:p>
        </w:tc>
        <w:tc>
          <w:tcPr>
            <w:tcW w:type="dxa" w:w="5400"/>
          </w:tcPr>
          <w:p>
            <w:r>
              <w:rPr>
                <w:sz w:val="20"/>
              </w:rPr>
            </w:r>
            <w:r>
              <w:rPr>
                <w:color w:val="000000" w:themeColor="hyperlink"/>
                <w:sz w:val="20"/>
                <w:u w:val="single"/>
              </w:rPr>
              <w:hyperlink r:id="rId16">
                <w:r>
                  <w:rPr/>
                  <w:t>0829da1a-cad.pdf</w:t>
                </w:r>
              </w:hyperlink>
            </w:r>
          </w:p>
        </w:tc>
      </w:tr>
    </w:tbl>
    <w:p/>
    <w:p/>
    <w:p>
      <w:pPr>
        <w:pStyle w:val="Heading2"/>
        <w:spacing w:before="0" w:after="80"/>
      </w:pPr>
      <w:r>
        <w:rPr>
          <w:b/>
          <w:color w:val="2C559C"/>
          <w:sz w:val="28"/>
        </w:rPr>
        <w:t>Difference between Proposal and Work Plan</w:t>
      </w:r>
    </w:p>
    <w:p>
      <w:pPr>
        <w:pStyle w:val="Heading4"/>
        <w:spacing w:before="40" w:after="20"/>
      </w:pPr>
      <w:r>
        <w:rPr>
          <w:b/>
          <w:i/>
          <w:color w:val="000000"/>
          <w:sz w:val="24"/>
        </w:rPr>
        <w:t>Describe changes from Proposal to Work Plan Stage</w:t>
      </w:r>
    </w:p>
    <w:p>
      <w:r>
        <w:t>Narrative sections, activity sections, and budget have been updated to reflect the different between request ($1,000,000) and recommended award ($819,000). Updated resolution file shows full adoption/execution by Board of Commissioners.  Recent comments addressed: checking box for capital investment over 10,000, addition of milestones to address items in the construction spreadsheet.</w:t>
      </w:r>
    </w:p>
    <w:p/>
    <w:p>
      <w:r>
        <w:br w:type="page"/>
      </w:r>
    </w:p>
    <w:p>
      <w:pPr>
        <w:pStyle w:val="Heading2"/>
        <w:spacing w:before="0" w:after="80"/>
      </w:pPr>
      <w:r>
        <w:rPr>
          <w:b/>
          <w:color w:val="2C559C"/>
          <w:sz w:val="28"/>
        </w:rPr>
        <w:t xml:space="preserve">Additional Acknowledgements and Conditions: </w:t>
      </w:r>
    </w:p>
    <w:p>
      <w:r>
        <w:t>The following are acknowledgements and conditions beyond those already included in the above workplan:</w:t>
      </w:r>
    </w:p>
    <w:p>
      <w:r>
        <w:rPr>
          <w:b/>
        </w:rPr>
        <w:t xml:space="preserve">Do you understand and acknowledge the ENRTF repayment requirements if the use of capital equipment changes? </w:t>
      </w:r>
      <w:r>
        <w:br/>
        <w:tab/>
        <w:t>N/A</w:t>
      </w:r>
    </w:p>
    <w:p>
      <w:r>
        <w:rPr>
          <w:b/>
        </w:rPr>
        <w:t>Do you understand that travel expenses are only approved if they follow the "Commissioner's Plan" promulgated by the Commissioner of Management of Budget or, for University of Minnesota projects, the University of Minnesota plan?</w:t>
      </w:r>
      <w:r>
        <w:br/>
        <w:tab/>
        <w:t>N/A</w:t>
      </w:r>
    </w:p>
    <w:p>
      <w:r>
        <w:rPr>
          <w:b/>
        </w:rPr>
        <w:t xml:space="preserve">Does your project have potential for royalties, copyrights, patents, sale of products and assets, or revenue generation?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No</w:t>
      </w:r>
    </w:p>
    <w:p>
      <w:r>
        <w:rPr>
          <w:b/>
        </w:rPr>
        <w:t xml:space="preserve">Does the organization have a fiscal agent for this project? </w:t>
      </w:r>
      <w:r>
        <w:br/>
        <w:tab/>
        <w:t>No</w:t>
      </w:r>
    </w:p>
    <w:p>
      <w:r>
        <w:rPr>
          <w:b/>
        </w:rPr>
        <w:t>Does your project include the pre-design, design, construction, or renovation of a building, trail, campground, or other fixed capital asset costing $10,000 or more or large-scale stream or wetland restoration?</w:t>
      </w:r>
      <w:r>
        <w:br/>
        <w:tab/>
        <w:t>Yes</w:t>
      </w:r>
    </w:p>
    <w:p>
      <w:r>
        <w:rPr>
          <w:b/>
        </w:rPr>
        <w:t>Do you propose using an appropriation from the Environment and Natural Resources Trust Fund to conduct a project that provides children's services (as defined in Minnesota Statutes section 299C.61 Subd.7 as "the provision of care, treatment, education, training, instruction, or recreation to children")?</w:t>
      </w:r>
      <w:r>
        <w:br/>
        <w:tab/>
        <w:t>No</w:t>
      </w:r>
    </w:p>
    <w:p>
      <w:r>
        <w:rPr>
          <w:b/>
        </w:rPr>
        <w:t>Provide the name(s) and organization(s) of additional individuals assisting in the completion of this project:</w:t>
      </w:r>
    </w:p>
    <w:p>
      <w:r>
        <w:tab/>
        <w:t>James Shaffer, MPRB; Carol HejlStone, MPRB</w:t>
      </w:r>
    </w:p>
    <w:p>
      <w:r>
        <w:rPr>
          <w:b/>
        </w:rPr>
        <w:t>Do you understand that a named service contract does not constitute a funder-designated subrecipient or approval of a sole-source contract? In other words, a service contract entity is only approved if it has been selected according to the contracting rules identified in state law and policy for organizations that receive ENRTF funds through direct appropriations, or in the DNR’s reimbursement manual for non-state organizations. These rules may include competitive bidding and prevailing wage requirements</w:t>
      </w:r>
      <w:r>
        <w:br/>
        <w:tab/>
        <w:t>Yes, I understand</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0EBA3" w14:textId="77777777" w:rsidR="00EF66C2" w:rsidRDefault="00EF66C2" w:rsidP="00361C7F">
      <w:pPr>
        <w:spacing w:after="0" w:line="240" w:lineRule="auto"/>
      </w:pPr>
      <w:r>
        <w:separator/>
      </w:r>
    </w:p>
  </w:endnote>
  <w:endnote w:type="continuationSeparator" w:id="0">
    <w:p w14:paraId="59551BD8" w14:textId="77777777" w:rsidR="00EF66C2" w:rsidRDefault="00EF66C2"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E39F6" w14:textId="77777777" w:rsidR="00EF66C2" w:rsidRDefault="00EF66C2" w:rsidP="00361C7F">
      <w:pPr>
        <w:spacing w:after="0" w:line="240" w:lineRule="auto"/>
      </w:pPr>
      <w:r>
        <w:separator/>
      </w:r>
    </w:p>
  </w:footnote>
  <w:footnote w:type="continuationSeparator" w:id="0">
    <w:p w14:paraId="5042794B" w14:textId="77777777" w:rsidR="00EF66C2" w:rsidRDefault="00EF66C2"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8117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4A5BA4"/>
    <w:rsid w:val="0053051E"/>
    <w:rsid w:val="005641C3"/>
    <w:rsid w:val="005E3353"/>
    <w:rsid w:val="006604C6"/>
    <w:rsid w:val="006B2086"/>
    <w:rsid w:val="00730762"/>
    <w:rsid w:val="00924F45"/>
    <w:rsid w:val="00B033D9"/>
    <w:rsid w:val="00BD347B"/>
    <w:rsid w:val="00C62757"/>
    <w:rsid w:val="00C661DB"/>
    <w:rsid w:val="00C8551B"/>
    <w:rsid w:val="00CA47C9"/>
    <w:rsid w:val="00CA5D0E"/>
    <w:rsid w:val="00CC1747"/>
    <w:rsid w:val="00D90370"/>
    <w:rsid w:val="00E1400A"/>
    <w:rsid w:val="00E62CB0"/>
    <w:rsid w:val="00EE2926"/>
    <w:rsid w:val="00EF1751"/>
    <w:rsid w:val="00EF66C2"/>
    <w:rsid w:val="00EF7ABA"/>
    <w:rsid w:val="00F26216"/>
    <w:rsid w:val="00FB121E"/>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b64429d7-daa.pdf" TargetMode="External"/><Relationship Id="rId13" Type="http://schemas.openxmlformats.org/officeDocument/2006/relationships/hyperlink" Target="https://lccmrprojectmgmt.leg.mn/media/attachments/9a73653f-920.pdf" TargetMode="External"/><Relationship Id="rId14" Type="http://schemas.openxmlformats.org/officeDocument/2006/relationships/hyperlink" Target="https://lccmrprojectmgmt.leg.mn/media/attachments/a7699911-fd1.pdf" TargetMode="External"/><Relationship Id="rId15" Type="http://schemas.openxmlformats.org/officeDocument/2006/relationships/hyperlink" Target="https://lccmrprojectmgmt.leg.mn/media/attachments/01ea973a-0da.xlsx" TargetMode="External"/><Relationship Id="rId16" Type="http://schemas.openxmlformats.org/officeDocument/2006/relationships/hyperlink" Target="https://lccmrprojectmgmt.leg.mn/media/attachments/0829da1a-cad.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Words>
  <Characters>28</Characters>
  <Application>Microsoft Office Word</Application>
  <DocSecurity>0</DocSecurity>
  <Lines>1</Lines>
  <Paragraphs>1</Paragraphs>
  <ScaleCrop>false</ScaleCrop>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 Plan Report - Shoreline Restoration and Enhancement at Minneapolis Lakes</dc:title>
  <dc:subject/>
  <dc:creator>LCCMR</dc:creator>
  <cp:keywords/>
  <dc:description/>
  <cp:lastModifiedBy/>
  <cp:revision>1</cp:revision>
  <dcterms:created xsi:type="dcterms:W3CDTF">2022-09-09T14:30:00Z</dcterms:created>
  <dcterms:modified xsi:type="dcterms:W3CDTF">2022-09-09T14:44:00Z</dcterms:modified>
  <dc:language>English</dc:language>
</cp:coreProperties>
</file>