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2025-280</w:t>
      </w:r>
    </w:p>
    <w:p>
      <w:r>
        <w:rPr>
          <w:b/>
        </w:rPr>
        <w:t xml:space="preserve">Staff Lead: </w:t>
      </w:r>
      <w:r>
        <w:t>Noah Fribley</w:t>
      </w:r>
    </w:p>
    <w:p>
      <w:r>
        <w:rPr>
          <w:b/>
        </w:rPr>
        <w:t xml:space="preserve">Date this document submitted to LCCMR: </w:t>
      </w:r>
      <w:r>
        <w:t>June 9, 2025</w:t>
      </w:r>
    </w:p>
    <w:p>
      <w:r>
        <w:rPr>
          <w:b/>
        </w:rPr>
        <w:t xml:space="preserve">Project Title: </w:t>
      </w:r>
      <w:r>
        <w:t>Understanding to Improve Minnesota's Future Lake Water Quality</w:t>
      </w:r>
    </w:p>
    <w:p>
      <w:r>
        <w:rPr>
          <w:b/>
        </w:rPr>
        <w:t xml:space="preserve">Project Budget: </w:t>
      </w:r>
      <w:r>
        <w:t>$595,000</w:t>
      </w:r>
    </w:p>
    <w:p/>
    <w:p>
      <w:pPr>
        <w:pStyle w:val="Heading2"/>
        <w:spacing w:before="0" w:after="80"/>
      </w:pPr>
      <w:r>
        <w:rPr>
          <w:b/>
          <w:color w:val="2C559C"/>
          <w:sz w:val="28"/>
        </w:rPr>
        <w:t>Project Manager Information</w:t>
      </w:r>
    </w:p>
    <w:p>
      <w:r>
        <w:rPr>
          <w:b/>
        </w:rPr>
        <w:t xml:space="preserve">Name: </w:t>
      </w:r>
      <w:r>
        <w:t>Leif Olmanson</w:t>
      </w:r>
    </w:p>
    <w:p>
      <w:r>
        <w:rPr>
          <w:b/>
        </w:rPr>
        <w:t xml:space="preserve">Organization: </w:t>
      </w:r>
      <w:r>
        <w:t>U of MN - College of Food, Agricultural and Natural Resource Sciences</w:t>
      </w:r>
    </w:p>
    <w:p>
      <w:r>
        <w:rPr>
          <w:b/>
        </w:rPr>
        <w:t xml:space="preserve">Office Telephone: </w:t>
      </w:r>
      <w:r>
        <w:t>(651) 206-9102</w:t>
      </w:r>
    </w:p>
    <w:p>
      <w:r>
        <w:rPr>
          <w:b/>
        </w:rPr>
        <w:t xml:space="preserve">Email: </w:t>
      </w:r>
      <w:r>
        <w:t>olman002@umn.edu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03cc</w:t>
      </w:r>
    </w:p>
    <w:p>
      <w:r>
        <w:rPr>
          <w:b/>
        </w:rPr>
        <w:t xml:space="preserve">Appropriation Language: </w:t>
      </w:r>
      <w:r>
        <w:t xml:space="preserve">$595,000 the first year is from the trust fund to the Board of Regents of the University of Minnesota to use decade-long comprehensive lake, watershed, and weather data and high-resolution climate models to understand lake-specific drivers of water quality and predict the effects of future warming on harmful algal blooms across Minnesota.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Use decade-long comprehensive real-world data to understand lake-specific drivers of water quality and high-resolution climate models to project the effects of future warming on HABs across Minnesota</w:t>
      </w:r>
    </w:p>
    <w:p>
      <w:pPr>
        <w:spacing w:after="60"/>
      </w:pPr>
      <w:r>
        <w:rPr>
          <w:b/>
        </w:rPr>
        <w:t>Describe the opportunity or problem your proposal seeks to address. Include any relevant background information.</w:t>
      </w:r>
    </w:p>
    <w:p>
      <w:r>
        <w:t>There is a well-documented connection between agricultural management practices and the occurrence of harmful algal blooms (HABs) in Midwestern lakes. However, the occurrence of HABs is not only an agricultural problem. There are several drivers of these blooms, many of which have yet to be quantified. Water temperature is one of the most important physical characteristics of aquatic systems, regulating many chemical and biological processes. With warming temperatures, longer open water seasons, and more intense storms delivering more nutrients to our lakes, the occurrence of harmful algal blooms (HABs) and threats to fish habitats are increasing throughout Minnesota. As temperatures continue to increase a more precise understanding of temperature induced HAB risk will help mitigate assumptions about the key contributors to these blooms and enable improved identification of best management practices across sectors to help limit their economic, ecological, and human health impacts.</w:t>
        <w:br/>
        <w:br/>
        <w:t>The project is a compelling opportunity to take advantage of cutting-edge climate modeling, archived and current data streams from operational satellites and the high-performance computing resources at the University of Minnesota. This forward-thinking approach allows for a comprehensive understanding to focus resources where needed to get ahead of the problem and conserve water quality for future generations.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overarching goal of this project is to fill a significant knowledge gap about the climatic drivers and occurrence of HABs in Minnesota’s 10,000+ lakes while developing actionable insights, tools, and Extension training to ensure this research is integrated into decision-making and management practices across the state.</w:t>
        <w:br/>
        <w:br/>
        <w:t>We will use real-world datasets to identify changes to HAB timing and intensity under different weather and land use scenarios. To do this we will develop comprehensive water quality and lake temperature data from satellite data for over 10,000 Minnesota lakes and utilize weather and watershed data available in GEMS Exchange APIs. Having a comprehensive dataset for an eleven-year period (10 million+ matchups) will provide a strong basis to determine weather patterns (e.g. warm/dry, wet/cool) that affect HAB timing and intensity for different lake and watershed characteristics. This will provide a strong real-world understanding of current and recent HAB timing and intensity for Minnesota lakes. This understanding will be used with state-of-the-art machine learning methods to develop strong models that we will use with high-resolution climate projections for different climate scenarios to analyze the effects of future warming on HABs in lakes across Minnesota and categorize at-risk lakes.</w:t>
      </w:r>
    </w:p>
    <w:p>
      <w:pPr>
        <w:spacing w:after="60"/>
      </w:pPr>
      <w:r>
        <w:rPr>
          <w:b/>
        </w:rPr>
        <w:t xml:space="preserve">What are the specific project outcomes as they relate to the public purpose of protection, conservation, preservation, and enhancement of the state’s natural resources? </w:t>
      </w:r>
    </w:p>
    <w:p>
      <w:r>
        <w:t>1) Decade-long real-world Comprehensive database of lake water quality and lake water temperature to understand lake-specific drivers of water quality.</w:t>
        <w:br/>
        <w:t>2) Use high-resolution climate model output to analyze the effects of future warming on HABs in lakes across Minnesota and categorize at-risk lakes.</w:t>
        <w:br/>
        <w:t xml:space="preserve">3) Incorporate model results into an interactive recent lake water quality and temperature visualization tool and future climate data visualization tool. </w:t>
        <w:br/>
        <w:t>4) Develop and deliver information to support agricultural and natural resource managers and Tribes to both understand and effectively manage HAB risks to better support the health of Minnesota’s lakes and waterways.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Update the satellite remote sensing automated water quality monitoring system with temperature and machine-learning water quality models.</w:t>
      </w:r>
    </w:p>
    <w:p>
      <w:r>
        <w:rPr>
          <w:b/>
        </w:rPr>
        <w:t xml:space="preserve">Activity Budget: </w:t>
      </w:r>
      <w:r>
        <w:t>$160,000</w:t>
      </w:r>
    </w:p>
    <w:p>
      <w:r>
        <w:rPr>
          <w:b/>
        </w:rPr>
        <w:t xml:space="preserve">Activity Description: </w:t>
        <w:br/>
      </w:r>
      <w:r>
        <w:t>Modify current water quality monitoring system to work with Landsat temperature products. This includes machine-to-machine access to U.S. Geological Survey servers to acquire imagery. Imagery will be sent through multiple scripted processing modules, which include (1) identifying and omitting contaminated pixels caused by clouds, cloud shadows, atmospheric haze, wildfire smoke, and specular reflection, and (2) classification of water pixels through a normalized difference water index to delineate an image-specific water mask. The combined masks result in qualified pixels which advance to the development of models using routinely collected field temperature data to calibrate available temperature satellite products for Minnesota lakes. The temperature models will then be applied to all available clear 2017 to 2027 Landsat 8, 9 data to produce databases of lake temperature.</w:t>
        <w:br/>
        <w:t xml:space="preserve"> </w:t>
        <w:br/>
        <w:t>Update current water quality monitoring system models using machine learning methods and trained using all available clear image occurrences with field measurement matchups (60,000+). These models will be applied to available imagery from 2017 through 2027 to create water quality products that will be used along with temperature for climate projection modeling in Activity 2 and made available in the interactive visualization tool in Activity 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methods for 2017 to 2027 Landsat temperature satellite products</w:t>
            </w:r>
          </w:p>
        </w:tc>
        <w:tc>
          <w:tcPr>
            <w:tcW w:type="dxa" w:w="2160"/>
          </w:tcPr>
          <w:p>
            <w:pPr>
              <w:jc w:val="right"/>
            </w:pPr>
            <w:r>
              <w:rPr>
                <w:sz w:val="20"/>
              </w:rPr>
              <w:t>December 31, 2025</w:t>
            </w:r>
          </w:p>
        </w:tc>
      </w:tr>
      <w:tr>
        <w:tc>
          <w:tcPr>
            <w:tcW w:type="dxa" w:w="8640"/>
          </w:tcPr>
          <w:p>
            <w:r>
              <w:rPr>
                <w:sz w:val="20"/>
              </w:rPr>
              <w:t>Add temperature to the automated water quality monitoring system</w:t>
            </w:r>
          </w:p>
        </w:tc>
        <w:tc>
          <w:tcPr>
            <w:tcW w:type="dxa" w:w="2160"/>
          </w:tcPr>
          <w:p>
            <w:pPr>
              <w:jc w:val="right"/>
            </w:pPr>
            <w:r>
              <w:rPr>
                <w:sz w:val="20"/>
              </w:rPr>
              <w:t>June 30, 2026</w:t>
            </w:r>
          </w:p>
        </w:tc>
      </w:tr>
      <w:tr>
        <w:tc>
          <w:tcPr>
            <w:tcW w:type="dxa" w:w="8640"/>
          </w:tcPr>
          <w:p>
            <w:r>
              <w:rPr>
                <w:sz w:val="20"/>
              </w:rPr>
              <w:t>Develop and apply Machine Learning water quality models</w:t>
            </w:r>
          </w:p>
        </w:tc>
        <w:tc>
          <w:tcPr>
            <w:tcW w:type="dxa" w:w="2160"/>
          </w:tcPr>
          <w:p>
            <w:pPr>
              <w:jc w:val="right"/>
            </w:pPr>
            <w:r>
              <w:rPr>
                <w:sz w:val="20"/>
              </w:rPr>
              <w:t>June 30, 2026</w:t>
            </w:r>
          </w:p>
        </w:tc>
      </w:tr>
      <w:tr>
        <w:tc>
          <w:tcPr>
            <w:tcW w:type="dxa" w:w="8640"/>
          </w:tcPr>
          <w:p>
            <w:r>
              <w:rPr>
                <w:sz w:val="20"/>
              </w:rPr>
              <w:t>Compile database with water quality (clarity, chlorophyll, color), and temperature data for 2017 to 2026</w:t>
            </w:r>
          </w:p>
        </w:tc>
        <w:tc>
          <w:tcPr>
            <w:tcW w:type="dxa" w:w="2160"/>
          </w:tcPr>
          <w:p>
            <w:pPr>
              <w:jc w:val="right"/>
            </w:pPr>
            <w:r>
              <w:rPr>
                <w:sz w:val="20"/>
              </w:rPr>
              <w:t>December 31, 2026</w:t>
            </w:r>
          </w:p>
        </w:tc>
      </w:tr>
      <w:tr>
        <w:tc>
          <w:tcPr>
            <w:tcW w:type="dxa" w:w="8640"/>
          </w:tcPr>
          <w:p>
            <w:r>
              <w:rPr>
                <w:sz w:val="20"/>
              </w:rPr>
              <w:t>Process and compile water quality and temperature data for 2027</w:t>
            </w:r>
          </w:p>
        </w:tc>
        <w:tc>
          <w:tcPr>
            <w:tcW w:type="dxa" w:w="2160"/>
          </w:tcPr>
          <w:p>
            <w:pPr>
              <w:jc w:val="right"/>
            </w:pPr>
            <w:r>
              <w:rPr>
                <w:sz w:val="20"/>
              </w:rPr>
              <w:t>December 31, 2027</w:t>
            </w:r>
          </w:p>
        </w:tc>
      </w:tr>
    </w:tbl>
    <w:p/>
    <w:p>
      <w:pPr>
        <w:pStyle w:val="Heading3"/>
        <w:spacing w:after="60"/>
      </w:pPr>
      <w:r>
        <w:rPr>
          <w:b/>
          <w:color w:val="254885"/>
          <w:sz w:val="26"/>
        </w:rPr>
        <w:t>Activity 2: Develop and apply weather informed HAB models to climate projections to predict effects of future warming on HABs in lakes.</w:t>
      </w:r>
    </w:p>
    <w:p>
      <w:r>
        <w:rPr>
          <w:b/>
        </w:rPr>
        <w:t xml:space="preserve">Activity Budget: </w:t>
      </w:r>
      <w:r>
        <w:t>$195,000</w:t>
      </w:r>
    </w:p>
    <w:p>
      <w:r>
        <w:rPr>
          <w:b/>
        </w:rPr>
        <w:t xml:space="preserve">Activity Description: </w:t>
        <w:br/>
      </w:r>
      <w:r>
        <w:t>Link data developed in Activity 1 (water quality and temperature) with weather data (e.g. temperature, wind, precipitation), lake morphometric (e.g. size, depth, fetch) and watershed characteristics (e.g. landcover, soils, slope) to create matchup datasets. We will use Machine Learning methods to determine relationships with the dataset to develop weather informed growth rate for HABs species of concern (e.g. Microcystis) for different lake and land use types. The models will be used with high-resolution temperature projections to estimate HAB growth and timing for low, medium and high emission scenarios at twenty-year increments from 2040 to 2099. These are the scenarios and time periods that dynamically downscaled climate simulations are currently simulating. We will calculate two indicators, bloom timing and bloom intensity. Bloom timing is the time of year when water temperatures are warm enough to cause rapid algal growth and is defined by the week when growth reaches 75% of the maximum. Bloom intensity refers to the algal cell's potential growth at a particular point in time - higher potential growth suggests a more intense bloom. We will calculate these indicators in future scenarios and compare them to historical real-world measurements to analyze how blooms might change.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weather informed HABs model for different lake types and watershed characteristics</w:t>
            </w:r>
          </w:p>
        </w:tc>
        <w:tc>
          <w:tcPr>
            <w:tcW w:type="dxa" w:w="2160"/>
          </w:tcPr>
          <w:p>
            <w:pPr>
              <w:jc w:val="right"/>
            </w:pPr>
            <w:r>
              <w:rPr>
                <w:sz w:val="20"/>
              </w:rPr>
              <w:t>March 31, 2027</w:t>
            </w:r>
          </w:p>
        </w:tc>
      </w:tr>
      <w:tr>
        <w:tc>
          <w:tcPr>
            <w:tcW w:type="dxa" w:w="8640"/>
          </w:tcPr>
          <w:p>
            <w:r>
              <w:rPr>
                <w:sz w:val="20"/>
              </w:rPr>
              <w:t>Apply HAB models to low, medium and high emission climate scenarios</w:t>
            </w:r>
          </w:p>
        </w:tc>
        <w:tc>
          <w:tcPr>
            <w:tcW w:type="dxa" w:w="2160"/>
          </w:tcPr>
          <w:p>
            <w:pPr>
              <w:jc w:val="right"/>
            </w:pPr>
            <w:r>
              <w:rPr>
                <w:sz w:val="20"/>
              </w:rPr>
              <w:t>June 30, 2027</w:t>
            </w:r>
          </w:p>
        </w:tc>
      </w:tr>
      <w:tr>
        <w:tc>
          <w:tcPr>
            <w:tcW w:type="dxa" w:w="8640"/>
          </w:tcPr>
          <w:p>
            <w:r>
              <w:rPr>
                <w:sz w:val="20"/>
              </w:rPr>
              <w:t>Test models, calibrate and validate with 2027 water quality and temperature data</w:t>
            </w:r>
          </w:p>
        </w:tc>
        <w:tc>
          <w:tcPr>
            <w:tcW w:type="dxa" w:w="2160"/>
          </w:tcPr>
          <w:p>
            <w:pPr>
              <w:jc w:val="right"/>
            </w:pPr>
            <w:r>
              <w:rPr>
                <w:sz w:val="20"/>
              </w:rPr>
              <w:t>March 31, 2028</w:t>
            </w:r>
          </w:p>
        </w:tc>
      </w:tr>
    </w:tbl>
    <w:p/>
    <w:p>
      <w:pPr>
        <w:pStyle w:val="Heading3"/>
        <w:spacing w:after="60"/>
      </w:pPr>
      <w:r>
        <w:rPr>
          <w:b/>
          <w:color w:val="254885"/>
          <w:sz w:val="26"/>
        </w:rPr>
        <w:t>Activity 3: Incorporate results into a lakes-focused climate data visualization tool.</w:t>
      </w:r>
    </w:p>
    <w:p>
      <w:r>
        <w:rPr>
          <w:b/>
        </w:rPr>
        <w:t xml:space="preserve">Activity Budget: </w:t>
      </w:r>
      <w:r>
        <w:t>$240,000</w:t>
      </w:r>
    </w:p>
    <w:p>
      <w:r>
        <w:rPr>
          <w:b/>
        </w:rPr>
        <w:t xml:space="preserve">Activity Description: </w:t>
        <w:br/>
      </w:r>
      <w:r>
        <w:t>Incorporate the results of Activities 1 and 2 into a lakes-focused climate visualization and data access tool. We will engage stakeholders which include citizens, state agency staff and UMN Extension collaborators throughout the process, from initial tool design to iterations on tool development and feedback on its usability. This engagement will inform the decision to either incorporate the new climate projections into an enhanced Minnesota LakeBrowser or develop a separate web application as well as features and content of the application. HAB timing and HAB intensity data will be available in the application, coupled with historic and recent data on both water quality and surface temperature. Map- and graph-based data visualizations will be available for various attributes, allowing users to explore seasonal variation and longer-term trends. Additionally, users will be able to select future emission scenarios, and a HAB species of interest, and the application will display a map layer that indicates both the changes in bloom timing and intensity. Lake- and region-level data will be available for download in raster, vector, or text formats, as appropriate for the data type and based on stakeholder input.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Final determination on Integration of new visualizations into Minnesota LakeBrowser or a new, separate application</w:t>
            </w:r>
          </w:p>
        </w:tc>
        <w:tc>
          <w:tcPr>
            <w:tcW w:type="dxa" w:w="2160"/>
          </w:tcPr>
          <w:p>
            <w:pPr>
              <w:jc w:val="right"/>
            </w:pPr>
            <w:r>
              <w:rPr>
                <w:sz w:val="20"/>
              </w:rPr>
              <w:t>March 31, 2027</w:t>
            </w:r>
          </w:p>
        </w:tc>
      </w:tr>
      <w:tr>
        <w:tc>
          <w:tcPr>
            <w:tcW w:type="dxa" w:w="8640"/>
          </w:tcPr>
          <w:p>
            <w:r>
              <w:rPr>
                <w:sz w:val="20"/>
              </w:rPr>
              <w:t>Add water quality and temperature data developed in Activity 1 into the data visualization tool</w:t>
            </w:r>
          </w:p>
        </w:tc>
        <w:tc>
          <w:tcPr>
            <w:tcW w:type="dxa" w:w="2160"/>
          </w:tcPr>
          <w:p>
            <w:pPr>
              <w:jc w:val="right"/>
            </w:pPr>
            <w:r>
              <w:rPr>
                <w:sz w:val="20"/>
              </w:rPr>
              <w:t>June 30, 2027</w:t>
            </w:r>
          </w:p>
        </w:tc>
      </w:tr>
      <w:tr>
        <w:tc>
          <w:tcPr>
            <w:tcW w:type="dxa" w:w="8640"/>
          </w:tcPr>
          <w:p>
            <w:r>
              <w:rPr>
                <w:sz w:val="20"/>
              </w:rPr>
              <w:t>Add climate projections of future warming and anticipated future HAB risks in 10,000+ lakes</w:t>
            </w:r>
          </w:p>
        </w:tc>
        <w:tc>
          <w:tcPr>
            <w:tcW w:type="dxa" w:w="2160"/>
          </w:tcPr>
          <w:p>
            <w:pPr>
              <w:jc w:val="right"/>
            </w:pPr>
            <w:r>
              <w:rPr>
                <w:sz w:val="20"/>
              </w:rPr>
              <w:t>January 31, 2028</w:t>
            </w:r>
          </w:p>
        </w:tc>
      </w:tr>
      <w:tr>
        <w:tc>
          <w:tcPr>
            <w:tcW w:type="dxa" w:w="8640"/>
          </w:tcPr>
          <w:p>
            <w:r>
              <w:rPr>
                <w:sz w:val="20"/>
              </w:rPr>
              <w:t>Complete initial stakeholder engagement and usability testing of updated Minnesota LakeBrowser and/or new application</w:t>
            </w:r>
          </w:p>
        </w:tc>
        <w:tc>
          <w:tcPr>
            <w:tcW w:type="dxa" w:w="2160"/>
          </w:tcPr>
          <w:p>
            <w:pPr>
              <w:jc w:val="right"/>
            </w:pPr>
            <w:r>
              <w:rPr>
                <w:sz w:val="20"/>
              </w:rPr>
              <w:t>February 28, 2028</w:t>
            </w:r>
          </w:p>
        </w:tc>
      </w:tr>
      <w:tr>
        <w:tc>
          <w:tcPr>
            <w:tcW w:type="dxa" w:w="8640"/>
          </w:tcPr>
          <w:p>
            <w:r>
              <w:rPr>
                <w:sz w:val="20"/>
              </w:rPr>
              <w:t>Refine application based on usability testing</w:t>
            </w:r>
          </w:p>
        </w:tc>
        <w:tc>
          <w:tcPr>
            <w:tcW w:type="dxa" w:w="2160"/>
          </w:tcPr>
          <w:p>
            <w:pPr>
              <w:jc w:val="right"/>
            </w:pPr>
            <w:r>
              <w:rPr>
                <w:sz w:val="20"/>
              </w:rPr>
              <w:t>April 30, 2028</w:t>
            </w:r>
          </w:p>
        </w:tc>
      </w:tr>
      <w:tr>
        <w:tc>
          <w:tcPr>
            <w:tcW w:type="dxa" w:w="8640"/>
          </w:tcPr>
          <w:p>
            <w:r>
              <w:rPr>
                <w:sz w:val="20"/>
              </w:rPr>
              <w:t>Release fully operational updated Minnesota LakeBrowser and/or visualization tool and initiate final stakeholder engagement</w:t>
            </w:r>
          </w:p>
        </w:tc>
        <w:tc>
          <w:tcPr>
            <w:tcW w:type="dxa" w:w="2160"/>
          </w:tcPr>
          <w:p>
            <w:pPr>
              <w:jc w:val="right"/>
            </w:pPr>
            <w:r>
              <w:rPr>
                <w:sz w:val="20"/>
              </w:rPr>
              <w:t>April 30, 2028</w:t>
            </w:r>
          </w:p>
        </w:tc>
      </w:tr>
      <w:tr>
        <w:tc>
          <w:tcPr>
            <w:tcW w:type="dxa" w:w="8640"/>
          </w:tcPr>
          <w:p>
            <w:r>
              <w:rPr>
                <w:sz w:val="20"/>
              </w:rPr>
              <w:t>Complete all modifications to the Minnesota LakeBrowser and/or data visualization tool using stakeholder engagement.</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Joel Larson</w:t>
            </w:r>
          </w:p>
        </w:tc>
        <w:tc>
          <w:tcPr>
            <w:tcW w:type="dxa" w:w="1440"/>
          </w:tcPr>
          <w:p>
            <w:r>
              <w:rPr>
                <w:sz w:val="20"/>
              </w:rPr>
              <w:t>University of Minnesota Extension - Water Resources Center</w:t>
            </w:r>
          </w:p>
        </w:tc>
        <w:tc>
          <w:tcPr>
            <w:tcW w:type="dxa" w:w="6840"/>
          </w:tcPr>
          <w:p>
            <w:r>
              <w:rPr>
                <w:sz w:val="20"/>
              </w:rPr>
              <w:t>Outreach and engagement: Integrate results into existing Extension</w:t>
              <w:br/>
              <w:t>programming; help to establish relationships with community partners.</w:t>
            </w:r>
          </w:p>
        </w:tc>
        <w:tc>
          <w:tcPr>
            <w:tcW w:type="dxa" w:w="1080"/>
          </w:tcPr>
          <w:p>
            <w:r>
              <w:rPr>
                <w:sz w:val="20"/>
              </w:rPr>
              <w:t>No</w:t>
            </w:r>
          </w:p>
        </w:tc>
      </w:tr>
      <w:tr>
        <w:tc>
          <w:tcPr>
            <w:tcW w:type="dxa" w:w="1440"/>
          </w:tcPr>
          <w:p>
            <w:r>
              <w:rPr>
                <w:sz w:val="20"/>
              </w:rPr>
              <w:t>David Rosen</w:t>
            </w:r>
          </w:p>
        </w:tc>
        <w:tc>
          <w:tcPr>
            <w:tcW w:type="dxa" w:w="1440"/>
          </w:tcPr>
          <w:p>
            <w:r>
              <w:rPr>
                <w:sz w:val="20"/>
              </w:rPr>
              <w:t>Usability Services, Office of Information Technology, University of Minnesota</w:t>
            </w:r>
          </w:p>
        </w:tc>
        <w:tc>
          <w:tcPr>
            <w:tcW w:type="dxa" w:w="6840"/>
          </w:tcPr>
          <w:p>
            <w:r>
              <w:rPr>
                <w:sz w:val="20"/>
              </w:rPr>
              <w:t>Provide expertise and services for user testing of the LakeBrowser and lake-focused climate visualization tool.</w:t>
            </w:r>
          </w:p>
        </w:tc>
        <w:tc>
          <w:tcPr>
            <w:tcW w:type="dxa" w:w="1080"/>
          </w:tcPr>
          <w:p>
            <w:r>
              <w:rPr>
                <w:sz w:val="20"/>
              </w:rPr>
              <w:t>No</w:t>
            </w:r>
          </w:p>
        </w:tc>
      </w:tr>
      <w:tr>
        <w:tc>
          <w:tcPr>
            <w:tcW w:type="dxa" w:w="1440"/>
          </w:tcPr>
          <w:p>
            <w:r>
              <w:rPr>
                <w:sz w:val="20"/>
              </w:rPr>
              <w:t>Suzanna Clark</w:t>
            </w:r>
          </w:p>
        </w:tc>
        <w:tc>
          <w:tcPr>
            <w:tcW w:type="dxa" w:w="1440"/>
          </w:tcPr>
          <w:p>
            <w:r>
              <w:rPr>
                <w:sz w:val="20"/>
              </w:rPr>
              <w:t>University of Minnesota Climate Adaptation Partnership</w:t>
            </w:r>
          </w:p>
        </w:tc>
        <w:tc>
          <w:tcPr>
            <w:tcW w:type="dxa" w:w="6840"/>
          </w:tcPr>
          <w:p>
            <w:r>
              <w:rPr>
                <w:sz w:val="20"/>
              </w:rPr>
              <w:t>Outreach and engagement: Integrate results into existing Extension</w:t>
              <w:br/>
              <w:t>programming; help to establish relationships with community partners.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Enhanced Minnesota LakeBrowser and lakes-focused climate visualization and data access tool will be the main avenue to disseminate data from the project. The tool will be open to federal, state, regional, and local agency staff and anyone interested in the data who has a web browser. It will allow access to the data through the map- and graph-based data visualizations for various attributes, allowing users to explore seasonal variation and longer-term trends. Users can also download lake- and region-level data in raster, vector, or text formats, as appropriate for the data type and based on stakeholder input. University of Minnesota Extension Educators from the Minnesota Climate Adaptation Partnership (MCAP), and Water Resources Center (WRC) will incorporate findings into workshops, webinars, and online training resources as appropriate to incorporate climate information and predicted conditions for specific lakes and regions into their consumers' long-term decision-making process. We will also share our findings in manuscripts and at climate and lake-focused conferences. The ENRTF will be attributed appropriately per the acknowledgment guidelines by language and logo in the Minnesota LakeBrowser and lakes-focused climate visualization and data access tool, social media posts, published manuscripts and presentations.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data visualization tool developed in Activity 3 will be maintained at U-Spatial, either as a separate application or integrated with the Minnesota LakeBrowser. The water quality and temperature data created from this project will be added to the current LakeBrowser (https://lakes.rs.umn.edu/). Maintenance of the Minnesota LakeBrowser and any updates to data processing would be funded by pursuing funds from data users.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Leif Olmanson</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$140,466</w:t>
            </w:r>
          </w:p>
        </w:tc>
      </w:tr>
      <w:tr>
        <w:tc>
          <w:tcPr>
            <w:tcW w:type="dxa" w:w="864"/>
          </w:tcPr>
          <w:p>
            <w:r>
              <w:rPr>
                <w:sz w:val="20"/>
              </w:rPr>
              <w:t>Peter Wiringa</w:t>
            </w:r>
          </w:p>
        </w:tc>
        <w:tc>
          <w:tcPr>
            <w:tcW w:type="dxa" w:w="1440"/>
          </w:tcPr>
          <w:p>
            <w:r>
              <w:rPr>
                <w:sz w:val="20"/>
              </w:rPr>
            </w:r>
          </w:p>
        </w:tc>
        <w:tc>
          <w:tcPr>
            <w:tcW w:type="dxa" w:w="5472"/>
          </w:tcPr>
          <w:p>
            <w:r>
              <w:rPr>
                <w:sz w:val="20"/>
              </w:rPr>
              <w:t>Co-Investigator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$17,936</w:t>
            </w:r>
          </w:p>
        </w:tc>
      </w:tr>
      <w:tr>
        <w:tc>
          <w:tcPr>
            <w:tcW w:type="dxa" w:w="864"/>
          </w:tcPr>
          <w:p>
            <w:r>
              <w:rPr>
                <w:sz w:val="20"/>
              </w:rPr>
              <w:t>David Porter</w:t>
            </w:r>
          </w:p>
        </w:tc>
        <w:tc>
          <w:tcPr>
            <w:tcW w:type="dxa" w:w="1440"/>
          </w:tcPr>
          <w:p>
            <w:r>
              <w:rPr>
                <w:sz w:val="20"/>
              </w:rPr>
            </w:r>
          </w:p>
        </w:tc>
        <w:tc>
          <w:tcPr>
            <w:tcW w:type="dxa" w:w="5472"/>
          </w:tcPr>
          <w:p>
            <w:r>
              <w:rPr>
                <w:sz w:val="20"/>
              </w:rPr>
              <w:t>Co-Investigator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$226,632</w:t>
            </w:r>
          </w:p>
        </w:tc>
      </w:tr>
      <w:tr>
        <w:tc>
          <w:tcPr>
            <w:tcW w:type="dxa" w:w="864"/>
          </w:tcPr>
          <w:p>
            <w:r>
              <w:rPr>
                <w:sz w:val="20"/>
              </w:rPr>
              <w:t>To Be Determined</w:t>
            </w:r>
          </w:p>
        </w:tc>
        <w:tc>
          <w:tcPr>
            <w:tcW w:type="dxa" w:w="1440"/>
          </w:tcPr>
          <w:p>
            <w:r>
              <w:rPr>
                <w:sz w:val="20"/>
              </w:rPr>
            </w:r>
          </w:p>
        </w:tc>
        <w:tc>
          <w:tcPr>
            <w:tcW w:type="dxa" w:w="5472"/>
          </w:tcPr>
          <w:p>
            <w:r>
              <w:rPr>
                <w:sz w:val="20"/>
              </w:rPr>
              <w:t>Researcher 5</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$200,166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$585,200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Unversity of Minnesota Remote Sensing Laboratory/MSI/GEMs APIs</w:t>
            </w:r>
          </w:p>
        </w:tc>
        <w:tc>
          <w:tcPr>
            <w:tcW w:type="dxa" w:w="1440"/>
          </w:tcPr>
          <w:p>
            <w:r>
              <w:rPr>
                <w:sz w:val="20"/>
              </w:rPr>
              <w:t>Internal services or fees (uncommon)</w:t>
            </w:r>
          </w:p>
        </w:tc>
        <w:tc>
          <w:tcPr>
            <w:tcW w:type="dxa" w:w="5472"/>
          </w:tcPr>
          <w:p>
            <w:r>
              <w:rPr>
                <w:sz w:val="20"/>
              </w:rPr>
              <w:t>Access to remote sensing/geographic information systems (GIS) software and computers for model development and to resources at Minnesota Supercomputing Institute and GEMs APIs at the University of Minnesota.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0.03</w:t>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1 to 2 trips for 1 to 2 people per year for a total of 6 trips. Rough estimate of each trip $1,000 (conference registration $400, Hotel for 3 nights at $150 for total of $450, and 214 miles at $0.70 for total of $150)</w:t>
            </w:r>
          </w:p>
        </w:tc>
        <w:tc>
          <w:tcPr>
            <w:tcW w:type="dxa" w:w="4032"/>
          </w:tcPr>
          <w:p>
            <w:r>
              <w:rPr>
                <w:sz w:val="20"/>
              </w:rPr>
              <w:t>Present results of ENRTF-funded work, outreach, and demonstration of the new capabilities of the new Minnesota LakeBrowser App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Stipends for up to eight usability testers at $50/person for 2 years</w:t>
            </w:r>
          </w:p>
        </w:tc>
        <w:tc>
          <w:tcPr>
            <w:tcW w:type="dxa" w:w="4032"/>
          </w:tcPr>
          <w:p>
            <w:r>
              <w:rPr>
                <w:sz w:val="20"/>
              </w:rPr>
              <w:t>Provide honorariums for usability testers to help ensure testing appointments are kept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$595,000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Facilities and Administration Costs UMN  (55% overhead)</w:t>
            </w:r>
          </w:p>
        </w:tc>
        <w:tc>
          <w:tcPr>
            <w:tcW w:type="dxa" w:w="6120"/>
          </w:tcPr>
          <w:p>
            <w:r>
              <w:rPr>
                <w:sz w:val="20"/>
              </w:rPr>
              <w:t>Operating costs of the UMN</w:t>
            </w:r>
          </w:p>
        </w:tc>
        <w:tc>
          <w:tcPr>
            <w:tcW w:type="dxa" w:w="1080"/>
          </w:tcPr>
          <w:p>
            <w:r>
              <w:rPr>
                <w:sz w:val="20"/>
              </w:rPr>
              <w:t>Pending</w:t>
            </w:r>
          </w:p>
        </w:tc>
        <w:tc>
          <w:tcPr>
            <w:tcW w:type="dxa" w:w="1440"/>
          </w:tcPr>
          <w:p>
            <w:pPr>
              <w:jc w:val="right"/>
            </w:pPr>
            <w:r>
              <w:rPr>
                <w:sz w:val="20"/>
              </w:rPr>
              <w:t>$327,250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$327,250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$327,250</w:t>
            </w:r>
          </w:p>
        </w:tc>
      </w:tr>
    </w:tbl>
    <w:p/>
    <w:p>
      <w:r>
        <w:rPr>
          <w:b/>
        </w:rPr>
        <w:t>Total Project Cost: $922,250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09fe4731-464.pdf</w:t>
          </w:r>
        </w:hyperlink>
      </w:r>
    </w:p>
    <w:p>
      <w:pPr>
        <w:pStyle w:val="Heading4"/>
        <w:spacing w:before="40" w:after="20"/>
      </w:pPr>
      <w:r>
        <w:rPr>
          <w:b/>
          <w:i/>
          <w:color w:val="000000"/>
          <w:sz w:val="24"/>
        </w:rPr>
        <w:t>Alternate Text for Visual Component</w:t>
      </w:r>
    </w:p>
    <w:p>
      <w:r>
        <w:t>Shows the workflow of the automated lake water quality and temperature system and how that data will be used with data from the GEMS Exchange APIs including high-resolution climate data to project HAB conditions into the future and the lake-focused climate data visualization tool with different climate scenarios....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MCAP Letter of Support</w:t>
            </w:r>
          </w:p>
        </w:tc>
        <w:tc>
          <w:tcPr>
            <w:tcW w:type="dxa" w:w="5400"/>
          </w:tcPr>
          <w:p>
            <w:r>
              <w:rPr>
                <w:sz w:val="20"/>
              </w:rPr>
            </w:r>
            <w:r>
              <w:rPr>
                <w:color w:val="000000" w:themeColor="hyperlink"/>
                <w:sz w:val="20"/>
                <w:u w:val="single"/>
              </w:rPr>
              <w:hyperlink r:id="rId13">
                <w:r>
                  <w:rPr/>
                  <w:t>eaeb64f6-4f8.pdf</w:t>
                </w:r>
              </w:hyperlink>
            </w:r>
          </w:p>
        </w:tc>
      </w:tr>
      <w:tr>
        <w:tc>
          <w:tcPr>
            <w:tcW w:type="dxa" w:w="5400"/>
          </w:tcPr>
          <w:p>
            <w:r>
              <w:rPr>
                <w:sz w:val="20"/>
              </w:rPr>
              <w:t>UMN IT Letter of Support</w:t>
            </w:r>
          </w:p>
        </w:tc>
        <w:tc>
          <w:tcPr>
            <w:tcW w:type="dxa" w:w="5400"/>
          </w:tcPr>
          <w:p>
            <w:r>
              <w:rPr>
                <w:sz w:val="20"/>
              </w:rPr>
            </w:r>
            <w:r>
              <w:rPr>
                <w:color w:val="000000" w:themeColor="hyperlink"/>
                <w:sz w:val="20"/>
                <w:u w:val="single"/>
              </w:rPr>
              <w:hyperlink r:id="rId14">
                <w:r>
                  <w:rPr/>
                  <w:t>ccd4b960-ce4.pdf</w:t>
                </w:r>
              </w:hyperlink>
            </w:r>
          </w:p>
        </w:tc>
      </w:tr>
      <w:tr>
        <w:tc>
          <w:tcPr>
            <w:tcW w:type="dxa" w:w="5400"/>
          </w:tcPr>
          <w:p>
            <w:r>
              <w:rPr>
                <w:sz w:val="20"/>
              </w:rPr>
              <w:t>UMN SPA Letter</w:t>
            </w:r>
          </w:p>
        </w:tc>
        <w:tc>
          <w:tcPr>
            <w:tcW w:type="dxa" w:w="5400"/>
          </w:tcPr>
          <w:p>
            <w:r>
              <w:rPr>
                <w:sz w:val="20"/>
              </w:rPr>
            </w:r>
            <w:r>
              <w:rPr>
                <w:color w:val="000000" w:themeColor="hyperlink"/>
                <w:sz w:val="20"/>
                <w:u w:val="single"/>
              </w:rPr>
              <w:hyperlink r:id="rId15">
                <w:r>
                  <w:rPr/>
                  <w:t>a8036627-9c3.pdf</w:t>
                </w:r>
              </w:hyperlink>
            </w:r>
          </w:p>
        </w:tc>
      </w:tr>
      <w:tr>
        <w:tc>
          <w:tcPr>
            <w:tcW w:type="dxa" w:w="5400"/>
          </w:tcPr>
          <w:p>
            <w:r>
              <w:rPr>
                <w:sz w:val="20"/>
              </w:rPr>
              <w:t>WRC Letter of support</w:t>
            </w:r>
          </w:p>
        </w:tc>
        <w:tc>
          <w:tcPr>
            <w:tcW w:type="dxa" w:w="5400"/>
          </w:tcPr>
          <w:p>
            <w:r>
              <w:rPr>
                <w:sz w:val="20"/>
              </w:rPr>
            </w:r>
            <w:r>
              <w:rPr>
                <w:color w:val="000000" w:themeColor="hyperlink"/>
                <w:sz w:val="20"/>
                <w:u w:val="single"/>
              </w:rPr>
              <w:hyperlink r:id="rId16">
                <w:r>
                  <w:rPr/>
                  <w:t>fe37fd2e-f0b.pdf</w:t>
                </w:r>
              </w:hyperlink>
            </w:r>
          </w:p>
        </w:tc>
      </w:tr>
      <w:tr>
        <w:tc>
          <w:tcPr>
            <w:tcW w:type="dxa" w:w="5400"/>
          </w:tcPr>
          <w:p>
            <w:r>
              <w:rPr>
                <w:sz w:val="20"/>
              </w:rPr>
              <w:t>2025-280 Research Addendum revised_final</w:t>
            </w:r>
          </w:p>
        </w:tc>
        <w:tc>
          <w:tcPr>
            <w:tcW w:type="dxa" w:w="5400"/>
          </w:tcPr>
          <w:p>
            <w:r>
              <w:rPr>
                <w:sz w:val="20"/>
              </w:rPr>
            </w:r>
            <w:r>
              <w:rPr>
                <w:color w:val="000000" w:themeColor="hyperlink"/>
                <w:sz w:val="20"/>
                <w:u w:val="single"/>
              </w:rPr>
              <w:hyperlink r:id="rId17">
                <w:r>
                  <w:rPr/>
                  <w:t>7687212c-13e.pdf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For the Activity 3 narrative, I added some additional text to clarify our process of developing the web tool and what it would include. I added the Dissemination section.</w:t>
        <w:br/>
        <w:t>1/30/ 2024 changes. Addressed comment 6. Clarified the timing of outreach activities so it is clear that it will all be completed by June 30, 2028. Addressed comment 7. Changed honoraria to stipends. Addressed comment 8. I've added how the ENRTF will be properly attributed according to the acknowledgment guidelines. Addressed comment 9. Added a rough breakdown of how we calculated our estimated travel budget.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09fe4731-464.pdf" TargetMode="External"/><Relationship Id="rId13" Type="http://schemas.openxmlformats.org/officeDocument/2006/relationships/hyperlink" Target="https://lccmrprojectmgmt.leg.mn/media/attachments/eaeb64f6-4f8.pdf" TargetMode="External"/><Relationship Id="rId14" Type="http://schemas.openxmlformats.org/officeDocument/2006/relationships/hyperlink" Target="https://lccmrprojectmgmt.leg.mn/media/attachments/ccd4b960-ce4.pdf" TargetMode="External"/><Relationship Id="rId15" Type="http://schemas.openxmlformats.org/officeDocument/2006/relationships/hyperlink" Target="https://lccmrprojectmgmt.leg.mn/media/attachments/a8036627-9c3.pdf" TargetMode="External"/><Relationship Id="rId16" Type="http://schemas.openxmlformats.org/officeDocument/2006/relationships/hyperlink" Target="https://lccmrprojectmgmt.leg.mn/media/attachments/fe37fd2e-f0b.pdf" TargetMode="External"/><Relationship Id="rId17" Type="http://schemas.openxmlformats.org/officeDocument/2006/relationships/hyperlink" Target="https://lccmrprojectmgmt.leg.mn/media/attachments/7687212c-13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Understanding to Improve Minnesota's Future Lake Water Quality</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