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2025-239</w:t>
      </w:r>
    </w:p>
    <w:p>
      <w:r>
        <w:rPr>
          <w:b/>
        </w:rPr>
        <w:t xml:space="preserve">Staff Lead: </w:t>
      </w:r>
      <w:r>
        <w:t>Noah Fribley</w:t>
      </w:r>
    </w:p>
    <w:p>
      <w:r>
        <w:rPr>
          <w:b/>
        </w:rPr>
        <w:t xml:space="preserve">Date this document submitted to LCCMR: </w:t>
      </w:r>
      <w:r>
        <w:t>June 11, 2025</w:t>
      </w:r>
    </w:p>
    <w:p>
      <w:r>
        <w:rPr>
          <w:b/>
        </w:rPr>
        <w:t xml:space="preserve">Project Title: </w:t>
      </w:r>
      <w:r>
        <w:t>Enhancing the Value of Minnesota Public Grasslands</w:t>
      </w:r>
    </w:p>
    <w:p>
      <w:r>
        <w:rPr>
          <w:b/>
        </w:rPr>
        <w:t xml:space="preserve">Project Budget: </w:t>
      </w:r>
      <w:r>
        <w:t>$390,000</w:t>
      </w:r>
    </w:p>
    <w:p/>
    <w:p>
      <w:pPr>
        <w:pStyle w:val="Heading2"/>
        <w:spacing w:before="0" w:after="80"/>
      </w:pPr>
      <w:r>
        <w:rPr>
          <w:b/>
          <w:color w:val="2C559C"/>
          <w:sz w:val="28"/>
        </w:rPr>
        <w:t>Project Manager Information</w:t>
      </w:r>
    </w:p>
    <w:p>
      <w:r>
        <w:rPr>
          <w:b/>
        </w:rPr>
        <w:t xml:space="preserve">Name: </w:t>
      </w:r>
      <w:r>
        <w:t>Eric Mousel</w:t>
      </w:r>
    </w:p>
    <w:p>
      <w:r>
        <w:rPr>
          <w:b/>
        </w:rPr>
        <w:t xml:space="preserve">Organization: </w:t>
      </w:r>
      <w:r>
        <w:t>U of MN - College of Food, Agricultural and Natural Resource Sciences</w:t>
      </w:r>
    </w:p>
    <w:p>
      <w:r>
        <w:rPr>
          <w:b/>
        </w:rPr>
        <w:t xml:space="preserve">Office Telephone: </w:t>
      </w:r>
      <w:r>
        <w:t>(218) 513-0781</w:t>
      </w:r>
    </w:p>
    <w:p>
      <w:r>
        <w:rPr>
          <w:b/>
        </w:rPr>
        <w:t xml:space="preserve">Email: </w:t>
      </w:r>
      <w:r>
        <w:t>emmousel@umn.edu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03w</w:t>
      </w:r>
    </w:p>
    <w:p>
      <w:r>
        <w:rPr>
          <w:b/>
        </w:rPr>
        <w:t xml:space="preserve">Appropriation Language: </w:t>
      </w:r>
      <w:r>
        <w:t xml:space="preserve">$390,000 the first year is from the trust fund to the Board of Regents of the University of Minnesota to evaluate a combination of prescribed fire, brush mowing, and targeted conservation grazing to develop ready-to-use management strategies for public land managers to mitigate woody species encroachment and increase biodiversity and carbon sequestration in public grasslands.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Evaluate prescribed fire, brush mowing and targeted conservation grazing to develop ready-to-use management strategies for public lands managers to mitigate woody species encroachment in public grasslands.</w:t>
      </w:r>
    </w:p>
    <w:p>
      <w:pPr>
        <w:spacing w:after="60"/>
      </w:pPr>
      <w:r>
        <w:rPr>
          <w:b/>
        </w:rPr>
        <w:t>Describe the opportunity or problem your proposal seeks to address. Include any relevant background information.</w:t>
      </w:r>
    </w:p>
    <w:p>
      <w:r>
        <w:t>Greater than 95% of Minnesota’s prairies have been lost to the plow and development. Many of the remaining acres of native and restored grasslands have been degraded from lack of fire and the spread of invasive woody species. Woody plant (i.e. brush and trees) encroachment in grasslands is a hallmark trait of climate change but tends to be exacerbated by improper management. The Tallgrass Aspen Parkland (TAP) is an ecoregion located in southeastern Manitoba and northwestern Minnesota. This boreal-grassland transition zone is a zone of constant competition and tension as prairie and woodlands struggle to overtake each other within the parkland. The Caribou Wildlife Management Area (CWMA), located within the TAP in northwestern Minnesota has experienced significant levels of brush encroachment into their respective grassland components resulting in reduced wildlife and pollinator habitat quality, shifts in ecological feedback loops and loss of biodiversity. The objectives of this study will be to evaluate the effect of high density grazing following prescribed fire and/or mechanical brush removal on reducing woody species density. The results will create more sustainable management practices that promote vegetation diversity, improve soil health and benefit the environment on public lands for the benefit of all Minnesotans.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propose to conduct field trials at CWMA and CWR to evaluate the effect of different combinations of prescribed burning, mechanical brush mowing and livestock grazing on mitigation of brush species encroachment into grassland, vegetation species diversity, and carbon sequestration. This project aims to develop ready-to-use landscape management systems that successfully and consistently allow MNDNR managers to mitigate brush encroachment in grasslands, increase species diversity through disturbance and increase carbon sequestration on public lands in the northern half of the state.</w:t>
      </w:r>
    </w:p>
    <w:p>
      <w:pPr>
        <w:spacing w:after="60"/>
      </w:pPr>
      <w:r>
        <w:rPr>
          <w:b/>
        </w:rPr>
        <w:t xml:space="preserve">What are the specific project outcomes as they relate to the public purpose of protection, conservation, preservation, and enhancement of the state’s natural resources? </w:t>
      </w:r>
    </w:p>
    <w:p>
      <w:r>
        <w:t>This project aims to evaluate applied field research to advance the sustainable management of public lands management in MN. The outcomes of the project include mitigating brush encroachment in grasslands, increasing species diversity through disturbance and helping to mitigate atmospheric greenhouse gas emissions by  increasing carbon sequestration on public lands. These outcomes will enhance the experience of stakeholders on public lands, particularly MNDNR Wildlife Management Areas by promoting sustainable management systems that can be enjoyed by all Minnesotans for generations to come.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Brush encroachment mitigation strategies</w:t>
      </w:r>
    </w:p>
    <w:p>
      <w:r>
        <w:rPr>
          <w:b/>
        </w:rPr>
        <w:t xml:space="preserve">Activity Budget: </w:t>
      </w:r>
      <w:r>
        <w:t>$286,000</w:t>
      </w:r>
    </w:p>
    <w:p>
      <w:r>
        <w:rPr>
          <w:b/>
        </w:rPr>
        <w:t xml:space="preserve">Activity Description: </w:t>
        <w:br/>
      </w:r>
      <w:r>
        <w:t>Field trials will be conducted at CWMA and CWR near Lancaster, MN. A prescribed fire will be conducted by MN DNR burn crew on both sites. Following prescribed fire, grassland areas will be brush-mowed to remove woody species not burned in the fire. Cattle from a neighboring ranch will be used to graze regrowth to maintain vegetation balance.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initial brush density evaluation on 2,560 acres</w:t>
            </w:r>
          </w:p>
        </w:tc>
        <w:tc>
          <w:tcPr>
            <w:tcW w:type="dxa" w:w="2160"/>
          </w:tcPr>
          <w:p>
            <w:pPr>
              <w:jc w:val="right"/>
            </w:pPr>
            <w:r>
              <w:rPr>
                <w:sz w:val="20"/>
              </w:rPr>
              <w:t>May 31, 2026</w:t>
            </w:r>
          </w:p>
        </w:tc>
      </w:tr>
      <w:tr>
        <w:tc>
          <w:tcPr>
            <w:tcW w:type="dxa" w:w="8640"/>
          </w:tcPr>
          <w:p>
            <w:r>
              <w:rPr>
                <w:sz w:val="20"/>
              </w:rPr>
              <w:t>Prescribed burn on 2,240 acres</w:t>
            </w:r>
          </w:p>
        </w:tc>
        <w:tc>
          <w:tcPr>
            <w:tcW w:type="dxa" w:w="2160"/>
          </w:tcPr>
          <w:p>
            <w:pPr>
              <w:jc w:val="right"/>
            </w:pPr>
            <w:r>
              <w:rPr>
                <w:sz w:val="20"/>
              </w:rPr>
              <w:t>May 31, 2026</w:t>
            </w:r>
          </w:p>
        </w:tc>
      </w:tr>
      <w:tr>
        <w:tc>
          <w:tcPr>
            <w:tcW w:type="dxa" w:w="8640"/>
          </w:tcPr>
          <w:p>
            <w:r>
              <w:rPr>
                <w:sz w:val="20"/>
              </w:rPr>
              <w:t>Conduct mid-experiment brush density evaluation on 2,560 acres</w:t>
            </w:r>
          </w:p>
        </w:tc>
        <w:tc>
          <w:tcPr>
            <w:tcW w:type="dxa" w:w="2160"/>
          </w:tcPr>
          <w:p>
            <w:pPr>
              <w:jc w:val="right"/>
            </w:pPr>
            <w:r>
              <w:rPr>
                <w:sz w:val="20"/>
              </w:rPr>
              <w:t>October 31, 2026</w:t>
            </w:r>
          </w:p>
        </w:tc>
      </w:tr>
      <w:tr>
        <w:tc>
          <w:tcPr>
            <w:tcW w:type="dxa" w:w="8640"/>
          </w:tcPr>
          <w:p>
            <w:r>
              <w:rPr>
                <w:sz w:val="20"/>
              </w:rPr>
              <w:t>Graze 320 acres in June only</w:t>
            </w:r>
          </w:p>
        </w:tc>
        <w:tc>
          <w:tcPr>
            <w:tcW w:type="dxa" w:w="2160"/>
          </w:tcPr>
          <w:p>
            <w:pPr>
              <w:jc w:val="right"/>
            </w:pPr>
            <w:r>
              <w:rPr>
                <w:sz w:val="20"/>
              </w:rPr>
              <w:t>June 30, 2027</w:t>
            </w:r>
          </w:p>
        </w:tc>
      </w:tr>
      <w:tr>
        <w:tc>
          <w:tcPr>
            <w:tcW w:type="dxa" w:w="8640"/>
          </w:tcPr>
          <w:p>
            <w:r>
              <w:rPr>
                <w:sz w:val="20"/>
              </w:rPr>
              <w:t>Graze 640 acres in July only</w:t>
            </w:r>
          </w:p>
        </w:tc>
        <w:tc>
          <w:tcPr>
            <w:tcW w:type="dxa" w:w="2160"/>
          </w:tcPr>
          <w:p>
            <w:pPr>
              <w:jc w:val="right"/>
            </w:pPr>
            <w:r>
              <w:rPr>
                <w:sz w:val="20"/>
              </w:rPr>
              <w:t>July 31, 2027</w:t>
            </w:r>
          </w:p>
        </w:tc>
      </w:tr>
      <w:tr>
        <w:tc>
          <w:tcPr>
            <w:tcW w:type="dxa" w:w="8640"/>
          </w:tcPr>
          <w:p>
            <w:r>
              <w:rPr>
                <w:sz w:val="20"/>
              </w:rPr>
              <w:t>Graze 640 acres in August only</w:t>
            </w:r>
          </w:p>
        </w:tc>
        <w:tc>
          <w:tcPr>
            <w:tcW w:type="dxa" w:w="2160"/>
          </w:tcPr>
          <w:p>
            <w:pPr>
              <w:jc w:val="right"/>
            </w:pPr>
            <w:r>
              <w:rPr>
                <w:sz w:val="20"/>
              </w:rPr>
              <w:t>August 31, 2027</w:t>
            </w:r>
          </w:p>
        </w:tc>
      </w:tr>
      <w:tr>
        <w:tc>
          <w:tcPr>
            <w:tcW w:type="dxa" w:w="8640"/>
          </w:tcPr>
          <w:p>
            <w:r>
              <w:rPr>
                <w:sz w:val="20"/>
              </w:rPr>
              <w:t>Graze 1,920 total acres; 320 burned but not grazed</w:t>
            </w:r>
          </w:p>
        </w:tc>
        <w:tc>
          <w:tcPr>
            <w:tcW w:type="dxa" w:w="2160"/>
          </w:tcPr>
          <w:p>
            <w:pPr>
              <w:jc w:val="right"/>
            </w:pPr>
            <w:r>
              <w:rPr>
                <w:sz w:val="20"/>
              </w:rPr>
              <w:t>September 30, 2027</w:t>
            </w:r>
          </w:p>
        </w:tc>
      </w:tr>
      <w:tr>
        <w:tc>
          <w:tcPr>
            <w:tcW w:type="dxa" w:w="8640"/>
          </w:tcPr>
          <w:p>
            <w:r>
              <w:rPr>
                <w:sz w:val="20"/>
              </w:rPr>
              <w:t>Graze 320 in June and September</w:t>
            </w:r>
          </w:p>
        </w:tc>
        <w:tc>
          <w:tcPr>
            <w:tcW w:type="dxa" w:w="2160"/>
          </w:tcPr>
          <w:p>
            <w:pPr>
              <w:jc w:val="right"/>
            </w:pPr>
            <w:r>
              <w:rPr>
                <w:sz w:val="20"/>
              </w:rPr>
              <w:t>September 30, 2027</w:t>
            </w:r>
          </w:p>
        </w:tc>
      </w:tr>
      <w:tr>
        <w:tc>
          <w:tcPr>
            <w:tcW w:type="dxa" w:w="8640"/>
          </w:tcPr>
          <w:p>
            <w:r>
              <w:rPr>
                <w:sz w:val="20"/>
              </w:rPr>
              <w:t>Conduct final brush density evaluation on 2560 acres</w:t>
            </w:r>
          </w:p>
        </w:tc>
        <w:tc>
          <w:tcPr>
            <w:tcW w:type="dxa" w:w="2160"/>
          </w:tcPr>
          <w:p>
            <w:pPr>
              <w:jc w:val="right"/>
            </w:pPr>
            <w:r>
              <w:rPr>
                <w:sz w:val="20"/>
              </w:rPr>
              <w:t>October 31, 2027</w:t>
            </w:r>
          </w:p>
        </w:tc>
      </w:tr>
    </w:tbl>
    <w:p/>
    <w:p>
      <w:pPr>
        <w:pStyle w:val="Heading3"/>
        <w:spacing w:after="60"/>
      </w:pPr>
      <w:r>
        <w:rPr>
          <w:b/>
          <w:color w:val="254885"/>
          <w:sz w:val="26"/>
        </w:rPr>
        <w:t>Activity 2: Vegetation diversity evaluation</w:t>
      </w:r>
    </w:p>
    <w:p>
      <w:r>
        <w:rPr>
          <w:b/>
        </w:rPr>
        <w:t xml:space="preserve">Activity Budget: </w:t>
      </w:r>
      <w:r>
        <w:t>$50,000</w:t>
      </w:r>
    </w:p>
    <w:p>
      <w:r>
        <w:rPr>
          <w:b/>
        </w:rPr>
        <w:t xml:space="preserve">Activity Description: </w:t>
        <w:br/>
      </w:r>
      <w:r>
        <w:t>Vegetation diversity indices will be measured before trial establishment and again after application of land management treatments. From this we will be able to determine the effect of these management tool combinations on changes in vegetation diversity.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initial vegetation diversity assessment on 2,560 acre prior to application of treatments</w:t>
            </w:r>
          </w:p>
        </w:tc>
        <w:tc>
          <w:tcPr>
            <w:tcW w:type="dxa" w:w="2160"/>
          </w:tcPr>
          <w:p>
            <w:pPr>
              <w:jc w:val="right"/>
            </w:pPr>
            <w:r>
              <w:rPr>
                <w:sz w:val="20"/>
              </w:rPr>
              <w:t>October 31, 2025</w:t>
            </w:r>
          </w:p>
        </w:tc>
      </w:tr>
      <w:tr>
        <w:tc>
          <w:tcPr>
            <w:tcW w:type="dxa" w:w="8640"/>
          </w:tcPr>
          <w:p>
            <w:r>
              <w:rPr>
                <w:sz w:val="20"/>
              </w:rPr>
              <w:t>Conduct initial habitat quality and species richness survey on 2,560 acres</w:t>
            </w:r>
          </w:p>
        </w:tc>
        <w:tc>
          <w:tcPr>
            <w:tcW w:type="dxa" w:w="2160"/>
          </w:tcPr>
          <w:p>
            <w:pPr>
              <w:jc w:val="right"/>
            </w:pPr>
            <w:r>
              <w:rPr>
                <w:sz w:val="20"/>
              </w:rPr>
              <w:t>October 31, 2025</w:t>
            </w:r>
          </w:p>
        </w:tc>
      </w:tr>
      <w:tr>
        <w:tc>
          <w:tcPr>
            <w:tcW w:type="dxa" w:w="8640"/>
          </w:tcPr>
          <w:p>
            <w:r>
              <w:rPr>
                <w:sz w:val="20"/>
              </w:rPr>
              <w:t>Conduct mid-experiment survey of vegetation diversity, habitat quality and species richness</w:t>
            </w:r>
          </w:p>
        </w:tc>
        <w:tc>
          <w:tcPr>
            <w:tcW w:type="dxa" w:w="2160"/>
          </w:tcPr>
          <w:p>
            <w:pPr>
              <w:jc w:val="right"/>
            </w:pPr>
            <w:r>
              <w:rPr>
                <w:sz w:val="20"/>
              </w:rPr>
              <w:t>October 31, 2026</w:t>
            </w:r>
          </w:p>
        </w:tc>
      </w:tr>
      <w:tr>
        <w:tc>
          <w:tcPr>
            <w:tcW w:type="dxa" w:w="8640"/>
          </w:tcPr>
          <w:p>
            <w:r>
              <w:rPr>
                <w:sz w:val="20"/>
              </w:rPr>
              <w:t>Application of brush encroachment mitigation strategies outlined in Activity 1</w:t>
            </w:r>
          </w:p>
        </w:tc>
        <w:tc>
          <w:tcPr>
            <w:tcW w:type="dxa" w:w="2160"/>
          </w:tcPr>
          <w:p>
            <w:pPr>
              <w:jc w:val="right"/>
            </w:pPr>
            <w:r>
              <w:rPr>
                <w:sz w:val="20"/>
              </w:rPr>
              <w:t>September 30, 2027</w:t>
            </w:r>
          </w:p>
        </w:tc>
      </w:tr>
      <w:tr>
        <w:tc>
          <w:tcPr>
            <w:tcW w:type="dxa" w:w="8640"/>
          </w:tcPr>
          <w:p>
            <w:r>
              <w:rPr>
                <w:sz w:val="20"/>
              </w:rPr>
              <w:t>Conduct final assessment of vegetation diversity, habitat quality and species richness</w:t>
            </w:r>
          </w:p>
        </w:tc>
        <w:tc>
          <w:tcPr>
            <w:tcW w:type="dxa" w:w="2160"/>
          </w:tcPr>
          <w:p>
            <w:pPr>
              <w:jc w:val="right"/>
            </w:pPr>
            <w:r>
              <w:rPr>
                <w:sz w:val="20"/>
              </w:rPr>
              <w:t>October 31, 2027</w:t>
            </w:r>
          </w:p>
        </w:tc>
      </w:tr>
    </w:tbl>
    <w:p/>
    <w:p>
      <w:pPr>
        <w:pStyle w:val="Heading3"/>
        <w:spacing w:after="60"/>
      </w:pPr>
      <w:r>
        <w:rPr>
          <w:b/>
          <w:color w:val="254885"/>
          <w:sz w:val="26"/>
        </w:rPr>
        <w:t>Activity 3: Carbon sequestration</w:t>
      </w:r>
    </w:p>
    <w:p>
      <w:r>
        <w:rPr>
          <w:b/>
        </w:rPr>
        <w:t xml:space="preserve">Activity Budget: </w:t>
      </w:r>
      <w:r>
        <w:t>$48,000</w:t>
      </w:r>
    </w:p>
    <w:p>
      <w:r>
        <w:rPr>
          <w:b/>
        </w:rPr>
        <w:t xml:space="preserve">Activity Description: </w:t>
        <w:br/>
      </w:r>
      <w:r>
        <w:t>Field trials established for brush encroachment mitigation will be used for this purpose. Soil carbon stocks will be measured before trial establishment and again after application of land management treatments. From this we will be able to determine the effect of these management tool combinations on carbon sequestration potential and total carbon stocks.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initial soil survey and grid sample soils for Carbon fractionation analysis</w:t>
            </w:r>
          </w:p>
        </w:tc>
        <w:tc>
          <w:tcPr>
            <w:tcW w:type="dxa" w:w="2160"/>
          </w:tcPr>
          <w:p>
            <w:pPr>
              <w:jc w:val="right"/>
            </w:pPr>
            <w:r>
              <w:rPr>
                <w:sz w:val="20"/>
              </w:rPr>
              <w:t>October 31, 2025</w:t>
            </w:r>
          </w:p>
        </w:tc>
      </w:tr>
      <w:tr>
        <w:tc>
          <w:tcPr>
            <w:tcW w:type="dxa" w:w="8640"/>
          </w:tcPr>
          <w:p>
            <w:r>
              <w:rPr>
                <w:sz w:val="20"/>
              </w:rPr>
              <w:t>Conduct mid-experiment grid sampling for C fraction analysis on 2,560 acres</w:t>
            </w:r>
          </w:p>
        </w:tc>
        <w:tc>
          <w:tcPr>
            <w:tcW w:type="dxa" w:w="2160"/>
          </w:tcPr>
          <w:p>
            <w:pPr>
              <w:jc w:val="right"/>
            </w:pPr>
            <w:r>
              <w:rPr>
                <w:sz w:val="20"/>
              </w:rPr>
              <w:t>October 31, 2026</w:t>
            </w:r>
          </w:p>
        </w:tc>
      </w:tr>
      <w:tr>
        <w:tc>
          <w:tcPr>
            <w:tcW w:type="dxa" w:w="8640"/>
          </w:tcPr>
          <w:p>
            <w:r>
              <w:rPr>
                <w:sz w:val="20"/>
              </w:rPr>
              <w:t>Application of brush encroachment mitigation treatments as outlined in Activity 1</w:t>
            </w:r>
          </w:p>
        </w:tc>
        <w:tc>
          <w:tcPr>
            <w:tcW w:type="dxa" w:w="2160"/>
          </w:tcPr>
          <w:p>
            <w:pPr>
              <w:jc w:val="right"/>
            </w:pPr>
            <w:r>
              <w:rPr>
                <w:sz w:val="20"/>
              </w:rPr>
              <w:t>September 30, 2027</w:t>
            </w:r>
          </w:p>
        </w:tc>
      </w:tr>
      <w:tr>
        <w:tc>
          <w:tcPr>
            <w:tcW w:type="dxa" w:w="8640"/>
          </w:tcPr>
          <w:p>
            <w:r>
              <w:rPr>
                <w:sz w:val="20"/>
              </w:rPr>
              <w:t>Conduct final grid sampling for C analysis on 2,560 acres</w:t>
            </w:r>
          </w:p>
        </w:tc>
        <w:tc>
          <w:tcPr>
            <w:tcW w:type="dxa" w:w="2160"/>
          </w:tcPr>
          <w:p>
            <w:pPr>
              <w:jc w:val="right"/>
            </w:pPr>
            <w:r>
              <w:rPr>
                <w:sz w:val="20"/>
              </w:rPr>
              <w:t>October 31, 2027</w:t>
            </w:r>
          </w:p>
        </w:tc>
      </w:tr>
    </w:tbl>
    <w:p/>
    <w:p>
      <w:pPr>
        <w:pStyle w:val="Heading3"/>
        <w:spacing w:after="60"/>
      </w:pPr>
      <w:r>
        <w:rPr>
          <w:b/>
          <w:color w:val="254885"/>
          <w:sz w:val="26"/>
        </w:rPr>
        <w:t>Activity 4: Outreach and Dissemination</w:t>
      </w:r>
    </w:p>
    <w:p>
      <w:r>
        <w:rPr>
          <w:b/>
        </w:rPr>
        <w:t xml:space="preserve">Activity Budget: </w:t>
      </w:r>
      <w:r>
        <w:t>$6,000</w:t>
      </w:r>
    </w:p>
    <w:p>
      <w:r>
        <w:rPr>
          <w:b/>
        </w:rPr>
        <w:t xml:space="preserve">Activity Description: </w:t>
        <w:br/>
      </w:r>
      <w:r>
        <w:t>Conduct outreach event to disseminate project results to Agency field staff, develop three videos outlining project justification, initiation and results. Project will generate 1 master's degree thesis and 1 peer-review journal manuscript. ENRTF will be featured as the project funder in all three social media videos and in the in-person outreach event. Additionally, ENRTF will be acknowledged in the graduate thesis and the peer-reviewed manuscript.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initial project outline video for publication on social media platforms.</w:t>
            </w:r>
          </w:p>
        </w:tc>
        <w:tc>
          <w:tcPr>
            <w:tcW w:type="dxa" w:w="2160"/>
          </w:tcPr>
          <w:p>
            <w:pPr>
              <w:jc w:val="right"/>
            </w:pPr>
            <w:r>
              <w:rPr>
                <w:sz w:val="20"/>
              </w:rPr>
              <w:t>September 30, 2025</w:t>
            </w:r>
          </w:p>
        </w:tc>
      </w:tr>
      <w:tr>
        <w:tc>
          <w:tcPr>
            <w:tcW w:type="dxa" w:w="8640"/>
          </w:tcPr>
          <w:p>
            <w:r>
              <w:rPr>
                <w:sz w:val="20"/>
              </w:rPr>
              <w:t>Develop treatment application video for project for publication on social media platforms.</w:t>
            </w:r>
          </w:p>
        </w:tc>
        <w:tc>
          <w:tcPr>
            <w:tcW w:type="dxa" w:w="2160"/>
          </w:tcPr>
          <w:p>
            <w:pPr>
              <w:jc w:val="right"/>
            </w:pPr>
            <w:r>
              <w:rPr>
                <w:sz w:val="20"/>
              </w:rPr>
              <w:t>September 30, 2026</w:t>
            </w:r>
          </w:p>
        </w:tc>
      </w:tr>
      <w:tr>
        <w:tc>
          <w:tcPr>
            <w:tcW w:type="dxa" w:w="8640"/>
          </w:tcPr>
          <w:p>
            <w:r>
              <w:rPr>
                <w:sz w:val="20"/>
              </w:rPr>
              <w:t>Complete and submit annual reports to LCCMR in 2026 and 2027.</w:t>
            </w:r>
          </w:p>
        </w:tc>
        <w:tc>
          <w:tcPr>
            <w:tcW w:type="dxa" w:w="2160"/>
          </w:tcPr>
          <w:p>
            <w:pPr>
              <w:jc w:val="right"/>
            </w:pPr>
            <w:r>
              <w:rPr>
                <w:sz w:val="20"/>
              </w:rPr>
              <w:t>June 30, 2027</w:t>
            </w:r>
          </w:p>
        </w:tc>
      </w:tr>
      <w:tr>
        <w:tc>
          <w:tcPr>
            <w:tcW w:type="dxa" w:w="8640"/>
          </w:tcPr>
          <w:p>
            <w:r>
              <w:rPr>
                <w:sz w:val="20"/>
              </w:rPr>
              <w:t>Completion of one Master's Degree thesis</w:t>
            </w:r>
          </w:p>
        </w:tc>
        <w:tc>
          <w:tcPr>
            <w:tcW w:type="dxa" w:w="2160"/>
          </w:tcPr>
          <w:p>
            <w:pPr>
              <w:jc w:val="right"/>
            </w:pPr>
            <w:r>
              <w:rPr>
                <w:sz w:val="20"/>
              </w:rPr>
              <w:t>May 31, 2028</w:t>
            </w:r>
          </w:p>
        </w:tc>
      </w:tr>
      <w:tr>
        <w:tc>
          <w:tcPr>
            <w:tcW w:type="dxa" w:w="8640"/>
          </w:tcPr>
          <w:p>
            <w:r>
              <w:rPr>
                <w:sz w:val="20"/>
              </w:rPr>
              <w:t>Develop project results video for publication on social media platforms.</w:t>
            </w:r>
          </w:p>
        </w:tc>
        <w:tc>
          <w:tcPr>
            <w:tcW w:type="dxa" w:w="2160"/>
          </w:tcPr>
          <w:p>
            <w:pPr>
              <w:jc w:val="right"/>
            </w:pPr>
            <w:r>
              <w:rPr>
                <w:sz w:val="20"/>
              </w:rPr>
              <w:t>June 30, 2028</w:t>
            </w:r>
          </w:p>
        </w:tc>
      </w:tr>
      <w:tr>
        <w:tc>
          <w:tcPr>
            <w:tcW w:type="dxa" w:w="8640"/>
          </w:tcPr>
          <w:p>
            <w:r>
              <w:rPr>
                <w:sz w:val="20"/>
              </w:rPr>
              <w:t>Conduct outreach event to deliver project results to Agency and NGO land managers.</w:t>
            </w:r>
          </w:p>
        </w:tc>
        <w:tc>
          <w:tcPr>
            <w:tcW w:type="dxa" w:w="2160"/>
          </w:tcPr>
          <w:p>
            <w:pPr>
              <w:jc w:val="right"/>
            </w:pPr>
            <w:r>
              <w:rPr>
                <w:sz w:val="20"/>
              </w:rPr>
              <w:t>June 30, 2028</w:t>
            </w:r>
          </w:p>
        </w:tc>
      </w:tr>
      <w:tr>
        <w:tc>
          <w:tcPr>
            <w:tcW w:type="dxa" w:w="8640"/>
          </w:tcPr>
          <w:p>
            <w:r>
              <w:rPr>
                <w:sz w:val="20"/>
              </w:rPr>
              <w:t>Completion of one peer-reviewed journal manuscript</w:t>
            </w:r>
          </w:p>
        </w:tc>
        <w:tc>
          <w:tcPr>
            <w:tcW w:type="dxa" w:w="2160"/>
          </w:tcPr>
          <w:p>
            <w:pPr>
              <w:jc w:val="right"/>
            </w:pPr>
            <w:r>
              <w:rPr>
                <w:sz w:val="20"/>
              </w:rPr>
              <w:t>June 30, 2028</w:t>
            </w:r>
          </w:p>
        </w:tc>
      </w:tr>
      <w:tr>
        <w:tc>
          <w:tcPr>
            <w:tcW w:type="dxa" w:w="8640"/>
          </w:tcPr>
          <w:p>
            <w:r>
              <w:rPr>
                <w:sz w:val="20"/>
              </w:rPr>
              <w:t>Complete final report to LCCMR</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Jason Wollin</w:t>
            </w:r>
          </w:p>
        </w:tc>
        <w:tc>
          <w:tcPr>
            <w:tcW w:type="dxa" w:w="1440"/>
          </w:tcPr>
          <w:p>
            <w:r>
              <w:rPr>
                <w:sz w:val="20"/>
              </w:rPr>
              <w:t>MN DNR</w:t>
            </w:r>
          </w:p>
        </w:tc>
        <w:tc>
          <w:tcPr>
            <w:tcW w:type="dxa" w:w="6840"/>
          </w:tcPr>
          <w:p>
            <w:r>
              <w:rPr>
                <w:sz w:val="20"/>
              </w:rPr>
              <w:t>Collaborator</w:t>
            </w:r>
          </w:p>
        </w:tc>
        <w:tc>
          <w:tcPr>
            <w:tcW w:type="dxa" w:w="1080"/>
          </w:tcPr>
          <w:p>
            <w:r>
              <w:rPr>
                <w:sz w:val="20"/>
              </w:rPr>
              <w:t>No</w:t>
            </w:r>
          </w:p>
        </w:tc>
      </w:tr>
      <w:tr>
        <w:tc>
          <w:tcPr>
            <w:tcW w:type="dxa" w:w="1440"/>
          </w:tcPr>
          <w:p>
            <w:r>
              <w:rPr>
                <w:sz w:val="20"/>
              </w:rPr>
              <w:t>Jacob Anderson</w:t>
            </w:r>
          </w:p>
        </w:tc>
        <w:tc>
          <w:tcPr>
            <w:tcW w:type="dxa" w:w="1440"/>
          </w:tcPr>
          <w:p>
            <w:r>
              <w:rPr>
                <w:sz w:val="20"/>
              </w:rPr>
              <w:t>The Nature Conservancy</w:t>
            </w:r>
          </w:p>
        </w:tc>
        <w:tc>
          <w:tcPr>
            <w:tcW w:type="dxa" w:w="6840"/>
          </w:tcPr>
          <w:p>
            <w:r>
              <w:rPr>
                <w:sz w:val="20"/>
              </w:rPr>
              <w:t>Collaborator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This project includes direct participation of MN DNR and The Nature Conservancy as well as input from focus groups including U.S. Fish and Wildlife Services, USDA Natural Resource Conservation Service, Ducks Unlimited, and Pheasants Forever. During and at the conclusion of the project, dissemination of project progress to LCCMR will occur through submitted progress reports. Annual progress and results will be distributed to federal, state and private land managers through in-person field days and workshops as well as inter-agency discussions and symposia. External reports will acknowledge ENTRF through logo display and text. The project is expected to yield at least two scientific manuscripts published in academic journals; ENRTF will be acknowledged in the manuscripts as allowed by journal standards. Development of conventional and social media content during and at the conclusion of the project to demonstrate the importance of the project to the general public, the impact of the results on Minnesota grasslands, and the investment made by ENRTF in the project for the benefit of all Minnesotans. ENRTF will be acknowledged in all social posts and videos through logo display, tagging and text where appropriate. Research results will be made available in real-time to MN DNR partners and all data will be stored in the UMN Conservatorium for public access and use. Results ultimately will be used to enhance the tools available to Minnesota public and private land managers to conserve and improve the value of Minnesota grasslands.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Results from this proposal will support training programs for public lands managers and public stakeholders to understand the necessity of applying land management tools on public lands to sustain their utility into the future. This project will provide information for policy makers to develop legislation and agency rule-making that supports environmentally sound management techniques for enhancing the experience of stakeholders in their enjoyment of public lands. Previous, current and future work have been supported by state and federal agencies and the U of M. Federal and state agencies will be the primary targets for funding for future work as needed.</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Principal investigator</w:t>
            </w:r>
          </w:p>
        </w:tc>
        <w:tc>
          <w:tcPr>
            <w:tcW w:type="dxa" w:w="1440"/>
          </w:tcPr>
          <w:p>
            <w:r>
              <w:rPr>
                <w:sz w:val="20"/>
              </w:rPr>
            </w:r>
          </w:p>
        </w:tc>
        <w:tc>
          <w:tcPr>
            <w:tcW w:type="dxa" w:w="5472"/>
          </w:tcPr>
          <w:p>
            <w:r>
              <w:rPr>
                <w:sz w:val="20"/>
              </w:rPr>
              <w:t>Management of project implementation and execution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$81,720</w:t>
            </w:r>
          </w:p>
        </w:tc>
      </w:tr>
      <w:tr>
        <w:tc>
          <w:tcPr>
            <w:tcW w:type="dxa" w:w="864"/>
          </w:tcPr>
          <w:p>
            <w:r>
              <w:rPr>
                <w:sz w:val="20"/>
              </w:rPr>
              <w:t>Masters level graduate student</w:t>
            </w:r>
          </w:p>
        </w:tc>
        <w:tc>
          <w:tcPr>
            <w:tcW w:type="dxa" w:w="1440"/>
          </w:tcPr>
          <w:p>
            <w:r>
              <w:rPr>
                <w:sz w:val="20"/>
              </w:rPr>
            </w:r>
          </w:p>
        </w:tc>
        <w:tc>
          <w:tcPr>
            <w:tcW w:type="dxa" w:w="5472"/>
          </w:tcPr>
          <w:p>
            <w:r>
              <w:rPr>
                <w:sz w:val="20"/>
              </w:rPr>
              <w:t>Oversee field trials and support data collection</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$127,005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$208,725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mowing brush at research sites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$125,000</w:t>
            </w:r>
          </w:p>
        </w:tc>
      </w:tr>
      <w:tr>
        <w:tc>
          <w:tcPr>
            <w:tcW w:type="dxa" w:w="864"/>
          </w:tcPr>
          <w:p>
            <w:r>
              <w:rPr>
                <w:sz w:val="20"/>
              </w:rPr>
              <w:t>AgVise Laboratories, Benson, MN</w:t>
            </w:r>
          </w:p>
        </w:tc>
        <w:tc>
          <w:tcPr>
            <w:tcW w:type="dxa" w:w="1440"/>
          </w:tcPr>
          <w:p>
            <w:r>
              <w:rPr>
                <w:sz w:val="20"/>
              </w:rPr>
              <w:t>Service Contract</w:t>
            </w:r>
          </w:p>
        </w:tc>
        <w:tc>
          <w:tcPr>
            <w:tcW w:type="dxa" w:w="5472"/>
          </w:tcPr>
          <w:p>
            <w:r>
              <w:rPr>
                <w:sz w:val="20"/>
              </w:rPr>
              <w:t>Laboratory fees for soil C lab analysis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$21,000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Vegetation sampling supplies (4 sets of clippers, collection bags)</w:t>
            </w:r>
          </w:p>
        </w:tc>
        <w:tc>
          <w:tcPr>
            <w:tcW w:type="dxa" w:w="4032"/>
          </w:tcPr>
          <w:p>
            <w:r>
              <w:rPr>
                <w:sz w:val="20"/>
              </w:rPr>
              <w:t>Collecting vegetation data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Tools and Supplies</w:t>
            </w:r>
          </w:p>
        </w:tc>
        <w:tc>
          <w:tcPr>
            <w:tcW w:type="dxa" w:w="5472"/>
          </w:tcPr>
          <w:p>
            <w:r>
              <w:rPr>
                <w:sz w:val="20"/>
              </w:rPr>
              <w:t>Soil probes, containers and storage (2 soil probes, soil boxes, storage containers)</w:t>
            </w:r>
          </w:p>
        </w:tc>
        <w:tc>
          <w:tcPr>
            <w:tcW w:type="dxa" w:w="4032"/>
          </w:tcPr>
          <w:p>
            <w:r>
              <w:rPr>
                <w:sz w:val="20"/>
              </w:rPr>
              <w:t>Collecting soil samples for C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Tools and Supplies</w:t>
            </w:r>
          </w:p>
        </w:tc>
        <w:tc>
          <w:tcPr>
            <w:tcW w:type="dxa" w:w="5472"/>
          </w:tcPr>
          <w:p>
            <w:r>
              <w:rPr>
                <w:sz w:val="20"/>
              </w:rPr>
              <w:t>GPS supplies (2 units)</w:t>
            </w:r>
          </w:p>
        </w:tc>
        <w:tc>
          <w:tcPr>
            <w:tcW w:type="dxa" w:w="4032"/>
          </w:tcPr>
          <w:p>
            <w:r>
              <w:rPr>
                <w:sz w:val="20"/>
              </w:rPr>
              <w:t>Permanent, non-physical marking of data collection points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Trips from Grand Rapids to research sites at Caribou WMA in NW MN (6 per year, 3-4 people))</w:t>
            </w:r>
          </w:p>
        </w:tc>
        <w:tc>
          <w:tcPr>
            <w:tcW w:type="dxa" w:w="4032"/>
          </w:tcPr>
          <w:p>
            <w:r>
              <w:rPr>
                <w:sz w:val="20"/>
              </w:rPr>
              <w:t>Establish field experiments, data collection and present results as required by LCCMR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$19,225</w:t>
            </w:r>
          </w:p>
        </w:tc>
      </w:tr>
      <w:tr>
        <w:tc>
          <w:tcPr>
            <w:tcW w:type="dxa" w:w="864"/>
          </w:tcPr>
          <w:p>
            <w:r>
              <w:rPr>
                <w:sz w:val="20"/>
              </w:rPr>
            </w:r>
          </w:p>
        </w:tc>
        <w:tc>
          <w:tcPr>
            <w:tcW w:type="dxa" w:w="1440"/>
          </w:tcPr>
          <w:p>
            <w:r>
              <w:rPr>
                <w:sz w:val="20"/>
              </w:rPr>
              <w:t>Miles/ Meals/ Lodging</w:t>
            </w:r>
          </w:p>
        </w:tc>
        <w:tc>
          <w:tcPr>
            <w:tcW w:type="dxa" w:w="5472"/>
          </w:tcPr>
          <w:p>
            <w:r>
              <w:rPr>
                <w:sz w:val="20"/>
              </w:rPr>
              <w:t>Once at the research site, an ATV must be used to move between sites. A daily ATV lease per trip will be required. 6 trips in 2025, 6 trips in 2026 and 6 trips in 2027.</w:t>
            </w:r>
          </w:p>
        </w:tc>
        <w:tc>
          <w:tcPr>
            <w:tcW w:type="dxa" w:w="4032"/>
          </w:tcPr>
          <w:p>
            <w:r>
              <w:rPr>
                <w:sz w:val="20"/>
              </w:rPr>
              <w:t>Daily ATV lease to move between sites at the CWMA for project initiation and data collection.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$25,225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reports and bulletins</w:t>
            </w:r>
          </w:p>
        </w:tc>
        <w:tc>
          <w:tcPr>
            <w:tcW w:type="dxa" w:w="4032"/>
          </w:tcPr>
          <w:p>
            <w:r>
              <w:rPr>
                <w:sz w:val="20"/>
              </w:rPr>
              <w:t>Materials for concurrent and post-project outreach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Publication</w:t>
            </w:r>
          </w:p>
        </w:tc>
        <w:tc>
          <w:tcPr>
            <w:tcW w:type="dxa" w:w="5472"/>
          </w:tcPr>
          <w:p>
            <w:r>
              <w:rPr>
                <w:sz w:val="20"/>
              </w:rPr>
              <w:t>Publication of scientific manuscripts (2 expected)</w:t>
            </w:r>
          </w:p>
        </w:tc>
        <w:tc>
          <w:tcPr>
            <w:tcW w:type="dxa" w:w="4032"/>
          </w:tcPr>
          <w:p>
            <w:r>
              <w:rPr>
                <w:sz w:val="20"/>
              </w:rPr>
              <w:t>Cost of publication of scientific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$390,000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$390,000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7c504cb6-354.pdf</w:t>
          </w:r>
        </w:hyperlink>
      </w:r>
    </w:p>
    <w:p>
      <w:pPr>
        <w:pStyle w:val="Heading4"/>
        <w:spacing w:before="40" w:after="20"/>
      </w:pPr>
      <w:r>
        <w:rPr>
          <w:b/>
          <w:i/>
          <w:color w:val="000000"/>
          <w:sz w:val="24"/>
        </w:rPr>
        <w:t>Alternate Text for Visual Component</w:t>
      </w:r>
    </w:p>
    <w:p>
      <w:r>
        <w:t>Aerial photo of proposed research site at Caribou WMA and Carbiou Woodland Reserve in NW MN...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Authorization Letter</w:t>
            </w:r>
          </w:p>
        </w:tc>
        <w:tc>
          <w:tcPr>
            <w:tcW w:type="dxa" w:w="5400"/>
          </w:tcPr>
          <w:p>
            <w:r>
              <w:rPr>
                <w:sz w:val="20"/>
              </w:rPr>
            </w:r>
            <w:r>
              <w:rPr>
                <w:color w:val="000000" w:themeColor="hyperlink"/>
                <w:sz w:val="20"/>
                <w:u w:val="single"/>
              </w:rPr>
              <w:hyperlink r:id="rId13">
                <w:r>
                  <w:rPr/>
                  <w:t>24c98989-2ad.pdf</w:t>
                </w:r>
              </w:hyperlink>
            </w:r>
          </w:p>
        </w:tc>
      </w:tr>
      <w:tr>
        <w:tc>
          <w:tcPr>
            <w:tcW w:type="dxa" w:w="5400"/>
          </w:tcPr>
          <w:p>
            <w:r>
              <w:rPr>
                <w:sz w:val="20"/>
              </w:rPr>
              <w:t>Support Letter - The Nature Conservancy</w:t>
            </w:r>
          </w:p>
        </w:tc>
        <w:tc>
          <w:tcPr>
            <w:tcW w:type="dxa" w:w="5400"/>
          </w:tcPr>
          <w:p>
            <w:r>
              <w:rPr>
                <w:sz w:val="20"/>
              </w:rPr>
            </w:r>
            <w:r>
              <w:rPr>
                <w:color w:val="000000" w:themeColor="hyperlink"/>
                <w:sz w:val="20"/>
                <w:u w:val="single"/>
              </w:rPr>
              <w:hyperlink r:id="rId14">
                <w:r>
                  <w:rPr/>
                  <w:t>648999e8-015.pdf</w:t>
                </w:r>
              </w:hyperlink>
            </w:r>
          </w:p>
        </w:tc>
      </w:tr>
      <w:tr>
        <w:tc>
          <w:tcPr>
            <w:tcW w:type="dxa" w:w="5400"/>
          </w:tcPr>
          <w:p>
            <w:r>
              <w:rPr>
                <w:sz w:val="20"/>
              </w:rPr>
              <w:t>MN GLCA</w:t>
            </w:r>
          </w:p>
        </w:tc>
        <w:tc>
          <w:tcPr>
            <w:tcW w:type="dxa" w:w="5400"/>
          </w:tcPr>
          <w:p>
            <w:r>
              <w:rPr>
                <w:sz w:val="20"/>
              </w:rPr>
            </w:r>
            <w:r>
              <w:rPr>
                <w:color w:val="000000" w:themeColor="hyperlink"/>
                <w:sz w:val="20"/>
                <w:u w:val="single"/>
              </w:rPr>
              <w:hyperlink r:id="rId15">
                <w:r>
                  <w:rPr/>
                  <w:t>2dda3f75-f8e.pdf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None.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Kelsey Grachek</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c504cb6-354.pdf" TargetMode="External"/><Relationship Id="rId13" Type="http://schemas.openxmlformats.org/officeDocument/2006/relationships/hyperlink" Target="https://lccmrprojectmgmt.leg.mn/media/attachments/24c98989-2ad.pdf" TargetMode="External"/><Relationship Id="rId14" Type="http://schemas.openxmlformats.org/officeDocument/2006/relationships/hyperlink" Target="https://lccmrprojectmgmt.leg.mn/media/attachments/648999e8-015.pdf" TargetMode="External"/><Relationship Id="rId15" Type="http://schemas.openxmlformats.org/officeDocument/2006/relationships/hyperlink" Target="https://lccmrprojectmgmt.leg.mn/media/attachments/2dda3f75-f8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Enhancing the Value of Minnesota Public Grasslands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