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2025-219</w:t>
      </w:r>
    </w:p>
    <w:p>
      <w:r>
        <w:rPr>
          <w:b/>
        </w:rPr>
        <w:t xml:space="preserve">Staff Lead: </w:t>
      </w:r>
      <w:r>
        <w:t>Lisa Bigaouette</w:t>
      </w:r>
    </w:p>
    <w:p>
      <w:r>
        <w:rPr>
          <w:b/>
        </w:rPr>
        <w:t xml:space="preserve">Date this document submitted to LCCMR: </w:t>
      </w:r>
      <w:r>
        <w:t>June 19, 2025</w:t>
      </w:r>
    </w:p>
    <w:p>
      <w:r>
        <w:rPr>
          <w:b/>
        </w:rPr>
        <w:t xml:space="preserve">Project Title: </w:t>
      </w:r>
      <w:r>
        <w:t>Improving Minnesota Forest Health via Post-Duff-Burning Soil Analysis</w:t>
      </w:r>
    </w:p>
    <w:p>
      <w:r>
        <w:rPr>
          <w:b/>
        </w:rPr>
        <w:t xml:space="preserve">Project Budget: </w:t>
      </w:r>
      <w:r>
        <w:t>$646,000</w:t>
      </w:r>
    </w:p>
    <w:p/>
    <w:p>
      <w:pPr>
        <w:pStyle w:val="Heading2"/>
        <w:spacing w:before="0" w:after="80"/>
      </w:pPr>
      <w:r>
        <w:rPr>
          <w:b/>
          <w:color w:val="2C559C"/>
          <w:sz w:val="28"/>
        </w:rPr>
        <w:t>Project Manager Information</w:t>
      </w:r>
    </w:p>
    <w:p>
      <w:r>
        <w:rPr>
          <w:b/>
        </w:rPr>
        <w:t xml:space="preserve">Name: </w:t>
      </w:r>
      <w:r>
        <w:t>Lee Frelich</w:t>
      </w:r>
    </w:p>
    <w:p>
      <w:r>
        <w:rPr>
          <w:b/>
        </w:rPr>
        <w:t xml:space="preserve">Organization: </w:t>
      </w:r>
      <w:r>
        <w:t>U of MN - College of Food, Agricultural and Natural Resource Sciences</w:t>
      </w:r>
    </w:p>
    <w:p>
      <w:r>
        <w:rPr>
          <w:b/>
        </w:rPr>
        <w:t xml:space="preserve">Office Telephone: </w:t>
      </w:r>
      <w:r>
        <w:t>(612) 991-1359</w:t>
      </w:r>
    </w:p>
    <w:p>
      <w:r>
        <w:rPr>
          <w:b/>
        </w:rPr>
        <w:t xml:space="preserve">Email: </w:t>
      </w:r>
      <w:r>
        <w:t>freli001@umn.edu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08k</w:t>
      </w:r>
    </w:p>
    <w:p>
      <w:r>
        <w:rPr>
          <w:b/>
        </w:rPr>
        <w:t xml:space="preserve">Appropriation Language: </w:t>
      </w:r>
      <w:r>
        <w:t xml:space="preserve">$646,000 the first year is from the trust fund to the Board of Regents of the University of Minnesota to thoroughly investigate the impact of forest floor duff fires on soil dynamics, nutrient cycles, invasive shrubs, earthworms, and root systems to improve fire management for Minnesota's forest preservation. This appropriation may also be used to develop an outdoor lab-scale duff-burning device.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Study forest-bed duff-fire effects on soil, earthworms, nutrient cycles, tree regeneration seedbed characteristics, root systems, invasive shrub spread (buckthorn, honeysuckle), and hydrophobicity, to improve fire management for resilient ecosystems.</w:t>
      </w:r>
    </w:p>
    <w:p>
      <w:pPr>
        <w:spacing w:after="60"/>
      </w:pPr>
      <w:r>
        <w:rPr>
          <w:b/>
        </w:rPr>
        <w:t>Describe the opportunity or problem your proposal seeks to address. Include any relevant background information.</w:t>
      </w:r>
    </w:p>
    <w:p>
      <w:r>
        <w:t>While forest fires are often seen as destructive, they are vital for ecosystem renewal, nutrient cycling, controlling invasive species, and creating diverse habitats. A critical aspect of fire management is duff-burning, i.e., burning of accumulated organic material such as leaves and twigs on the forest floor. However, changing climate, erratic weather seasons, and alteration of the duff thickness by invasive earthworms, are leading to more unpredictable fire patterns. Therefore, a better understanding of duff fire behavior and its effects under these new conditions is crucial. Given that, the problem is the lack of a  well-controlled-facility to study the various effects of duff burning practices on soils in cost-effective ways. This project aims to comprehensively study, in the lab, the effects of weather and earthworm invasion on duff fire behavior, as well as the impacts of duff burning on soil, including nutrient cycles, post-fire characteristics of seedbeds for tree regeneration, root systems, spread of invasive shrubs (e.g., buckthorn, honeysuckle), and forest floor hydrophobicity. By providing insights into the complex interactions between fire and soil dynamics, this study will enhance fire management approaches, refine prescription burning strategies, and advance our capacity to forecast forest ecosystem reactions to fire occurrences.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aim to establish a mobile duff burning-monitoring facility to replicate forest floor fires, employing advanced measurement techniques to measure duff-burning processes and their impacts on soil. By recreating duff layers characteristic of coniferous (pine) and deciduous (oak, maple) forests, and simulating fall and spring fires, we will investigate how variations in duff thickness and soil structures influenced by earthworm invasion, affect burning patterns. Utilizing cutting-edge optical and sensing tools will allow monitoring of soil temperatures, moisture levels, and duff combustion characteristics during a burn. We will characterize select soil properties before and after burning. Following lab-scale trials, we will analyze duff burning effects in the field.</w:t>
        <w:br/>
        <w:br/>
        <w:t>Our novel mobile duff burning-monitoring facility will enable us to answer critical questions about duff-burning as a management practice: Can we create optimal conditions for pine and oak forest regeneration or suppress weedy shrubs? Does duff-burning increase or decrease soil heterogeneity that provides diverse niches for seedlings? How does duff burning affect post-fire nutrient supplies (N, P, K, Ca) and carbon sequestration? Can we mitigate post-fire soil hydrophobicity to reduce runoff and erosion? Ultimately, our project will empower fire managers to anticipate soil responses to fires, facilitating more precise burn prescriptions and</w:t>
      </w:r>
    </w:p>
    <w:p>
      <w:pPr>
        <w:spacing w:after="60"/>
      </w:pPr>
      <w:r>
        <w:rPr>
          <w:b/>
        </w:rPr>
        <w:t xml:space="preserve">What are the specific project outcomes as they relate to the public purpose of protection, conservation, preservation, and enhancement of the state’s natural resources? </w:t>
      </w:r>
    </w:p>
    <w:p>
      <w:r>
        <w:t>Between 2018 and 2022, Minnesota experienced nearly 6000 reported fires, costing over $23 million in 2023 for preparedness, prevention, and suppression by the DNR. Although human activity triggers most wildfires, environmental factors also contribute to their propagation, creating devastating incidents like Pagami Creek, Ham Lake, and GreenValley Fires. As forest fires become more frequent and intense, exacerbated by dry and erratic winters, our project aims to enhance understanding through a specialized duff-burning facility. This is crucial for refining prescription burning techniques, improving fire management practices on invasive shrubs, soil nutrient dynamics, soil sustainability - vital for Minnesota’s forest preservation.</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Development, instrumentation, and commissioning of a mobile duff burning-monitoring facility</w:t>
      </w:r>
    </w:p>
    <w:p>
      <w:r>
        <w:rPr>
          <w:b/>
        </w:rPr>
        <w:t xml:space="preserve">Activity Budget: </w:t>
      </w:r>
      <w:r>
        <w:t>$210,000</w:t>
      </w:r>
    </w:p>
    <w:p>
      <w:r>
        <w:rPr>
          <w:b/>
        </w:rPr>
        <w:t xml:space="preserve">Activity Description: </w:t>
        <w:br/>
      </w:r>
      <w:r>
        <w:t xml:space="preserve">In this activity, we will construct, instrument, commission, and test an outdoor mobile duff burning-monitoring facility measuring approximately 4 feet in length, 3 feet in width, and 3 feet in height. The construction and troubleshooting of this facility will be carried out by the Saint Anthony Falls Lab (SAFL) Co-PIs. To be mobile, this facility will be equipped with gasoline-powered generators and water reservoirs. </w:t>
        <w:br/>
        <w:t>The Co-PIs at SAFL possess a wide array of engineering skills. Collaborating closely with Project Manager Frelich and Co-PI Yoo, Co-PIs at SAFL will ensure that the duff burning facility accurately simulates real forest bed conditions, that the experimental fires can be characterized as to flame length and heat output, and that impacts on the soil can be characterized as to flame length and heat output, and that impacts on the soil can be measured, e.g. via thermocouples and other data acquisition systems. This innovative test facility holds significant importance as it provides a controlled environment for studying forest bed duff fires, offering invaluable insights into fire dynamics and management strategies.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design of the duff burning facility</w:t>
            </w:r>
          </w:p>
        </w:tc>
        <w:tc>
          <w:tcPr>
            <w:tcW w:type="dxa" w:w="2160"/>
          </w:tcPr>
          <w:p>
            <w:pPr>
              <w:jc w:val="right"/>
            </w:pPr>
            <w:r>
              <w:rPr>
                <w:sz w:val="20"/>
              </w:rPr>
              <w:t>December 31, 2025</w:t>
            </w:r>
          </w:p>
        </w:tc>
      </w:tr>
      <w:tr>
        <w:tc>
          <w:tcPr>
            <w:tcW w:type="dxa" w:w="8640"/>
          </w:tcPr>
          <w:p>
            <w:r>
              <w:rPr>
                <w:sz w:val="20"/>
              </w:rPr>
              <w:t>Complete build, sensor integration/instrumentation, first fire in the facility</w:t>
            </w:r>
          </w:p>
        </w:tc>
        <w:tc>
          <w:tcPr>
            <w:tcW w:type="dxa" w:w="2160"/>
          </w:tcPr>
          <w:p>
            <w:pPr>
              <w:jc w:val="right"/>
            </w:pPr>
            <w:r>
              <w:rPr>
                <w:sz w:val="20"/>
              </w:rPr>
              <w:t>March 31, 2026</w:t>
            </w:r>
          </w:p>
        </w:tc>
      </w:tr>
      <w:tr>
        <w:tc>
          <w:tcPr>
            <w:tcW w:type="dxa" w:w="8640"/>
          </w:tcPr>
          <w:p>
            <w:r>
              <w:rPr>
                <w:sz w:val="20"/>
              </w:rPr>
              <w:t>Complete a series of safety and calibration tests and commission the facility</w:t>
            </w:r>
          </w:p>
        </w:tc>
        <w:tc>
          <w:tcPr>
            <w:tcW w:type="dxa" w:w="2160"/>
          </w:tcPr>
          <w:p>
            <w:pPr>
              <w:jc w:val="right"/>
            </w:pPr>
            <w:r>
              <w:rPr>
                <w:sz w:val="20"/>
              </w:rPr>
              <w:t>May 31, 2026</w:t>
            </w:r>
          </w:p>
        </w:tc>
      </w:tr>
      <w:tr>
        <w:tc>
          <w:tcPr>
            <w:tcW w:type="dxa" w:w="8640"/>
          </w:tcPr>
          <w:p>
            <w:r>
              <w:rPr>
                <w:sz w:val="20"/>
              </w:rPr>
              <w:t>Activity 1 summary report</w:t>
            </w:r>
          </w:p>
        </w:tc>
        <w:tc>
          <w:tcPr>
            <w:tcW w:type="dxa" w:w="2160"/>
          </w:tcPr>
          <w:p>
            <w:pPr>
              <w:jc w:val="right"/>
            </w:pPr>
            <w:r>
              <w:rPr>
                <w:sz w:val="20"/>
              </w:rPr>
              <w:t>June 30, 2026</w:t>
            </w:r>
          </w:p>
        </w:tc>
      </w:tr>
    </w:tbl>
    <w:p/>
    <w:p>
      <w:pPr>
        <w:pStyle w:val="Heading3"/>
        <w:spacing w:after="60"/>
      </w:pPr>
      <w:r>
        <w:rPr>
          <w:b/>
          <w:color w:val="254885"/>
          <w:sz w:val="26"/>
        </w:rPr>
        <w:t>Activity 2: Comprehensive lab and field experimental campaign investigating duff burning across various duff and soil compositions and wind conditions</w:t>
      </w:r>
    </w:p>
    <w:p>
      <w:r>
        <w:rPr>
          <w:b/>
        </w:rPr>
        <w:t xml:space="preserve">Activity Budget: </w:t>
      </w:r>
      <w:r>
        <w:t>$160,000</w:t>
      </w:r>
    </w:p>
    <w:p>
      <w:r>
        <w:rPr>
          <w:b/>
        </w:rPr>
        <w:t xml:space="preserve">Activity Description: </w:t>
        <w:br/>
      </w:r>
      <w:r>
        <w:t>Over a six-month period from May 1 to October 31 in 2026 and 2027, a comprehensive series of tests will be conducted using various types of duff materials sourced from coniferous and deciduous forests, with differing thicknesses to mimic different stages of earthworm invasion. Mineral soils, representative of Minnesota's forest soils, will also be simulated. Environmental conditions such as wind, temperature, and rainfall will be manipulated to study their impact on duff burning behavior. The experiments will involve monitoring soil temperature and moisture content using thermocouples and humidity sensors, while cameras will capture temperature distributions and combustion zones. The effects of duff burning on earthworm species and post-burn soil nutrient levels will be examined, along with sampling of combustion products to measure emissions. Field visits to areas undergoing prescribed burns will enable the collection of soil samples and earthworm assessments, providing detailed insights into the ecological implications of duff burning on forest ecosystems.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the first test campaign by varying the duff and soil composition</w:t>
            </w:r>
          </w:p>
        </w:tc>
        <w:tc>
          <w:tcPr>
            <w:tcW w:type="dxa" w:w="2160"/>
          </w:tcPr>
          <w:p>
            <w:pPr>
              <w:jc w:val="right"/>
            </w:pPr>
            <w:r>
              <w:rPr>
                <w:sz w:val="20"/>
              </w:rPr>
              <w:t>October 31, 2026</w:t>
            </w:r>
          </w:p>
        </w:tc>
      </w:tr>
      <w:tr>
        <w:tc>
          <w:tcPr>
            <w:tcW w:type="dxa" w:w="8640"/>
          </w:tcPr>
          <w:p>
            <w:r>
              <w:rPr>
                <w:sz w:val="20"/>
              </w:rPr>
              <w:t>Complete studying the effect of dry lag time on duff burning and prescription burn in</w:t>
            </w:r>
          </w:p>
        </w:tc>
        <w:tc>
          <w:tcPr>
            <w:tcW w:type="dxa" w:w="2160"/>
          </w:tcPr>
          <w:p>
            <w:pPr>
              <w:jc w:val="right"/>
            </w:pPr>
            <w:r>
              <w:rPr>
                <w:sz w:val="20"/>
              </w:rPr>
              <w:t>October 31, 2027</w:t>
            </w:r>
          </w:p>
        </w:tc>
      </w:tr>
      <w:tr>
        <w:tc>
          <w:tcPr>
            <w:tcW w:type="dxa" w:w="8640"/>
          </w:tcPr>
          <w:p>
            <w:r>
              <w:rPr>
                <w:sz w:val="20"/>
              </w:rPr>
              <w:t>In-situ and ex-situ testing of pre- and post-combustion analysis of organic matter</w:t>
            </w:r>
          </w:p>
        </w:tc>
        <w:tc>
          <w:tcPr>
            <w:tcW w:type="dxa" w:w="2160"/>
          </w:tcPr>
          <w:p>
            <w:pPr>
              <w:jc w:val="right"/>
            </w:pPr>
            <w:r>
              <w:rPr>
                <w:sz w:val="20"/>
              </w:rPr>
              <w:t>October 31, 2027</w:t>
            </w:r>
          </w:p>
        </w:tc>
      </w:tr>
      <w:tr>
        <w:tc>
          <w:tcPr>
            <w:tcW w:type="dxa" w:w="8640"/>
          </w:tcPr>
          <w:p>
            <w:r>
              <w:rPr>
                <w:sz w:val="20"/>
              </w:rPr>
              <w:t>Complete analysis of all the lab-scale testing data</w:t>
            </w:r>
          </w:p>
        </w:tc>
        <w:tc>
          <w:tcPr>
            <w:tcW w:type="dxa" w:w="2160"/>
          </w:tcPr>
          <w:p>
            <w:pPr>
              <w:jc w:val="right"/>
            </w:pPr>
            <w:r>
              <w:rPr>
                <w:sz w:val="20"/>
              </w:rPr>
              <w:t>December 31, 2027</w:t>
            </w:r>
          </w:p>
        </w:tc>
      </w:tr>
      <w:tr>
        <w:tc>
          <w:tcPr>
            <w:tcW w:type="dxa" w:w="8640"/>
          </w:tcPr>
          <w:p>
            <w:r>
              <w:rPr>
                <w:sz w:val="20"/>
              </w:rPr>
              <w:t>Activity 2 summary report</w:t>
            </w:r>
          </w:p>
        </w:tc>
        <w:tc>
          <w:tcPr>
            <w:tcW w:type="dxa" w:w="2160"/>
          </w:tcPr>
          <w:p>
            <w:pPr>
              <w:jc w:val="right"/>
            </w:pPr>
            <w:r>
              <w:rPr>
                <w:sz w:val="20"/>
              </w:rPr>
              <w:t>March 31, 2028</w:t>
            </w:r>
          </w:p>
        </w:tc>
      </w:tr>
    </w:tbl>
    <w:p/>
    <w:p>
      <w:pPr>
        <w:pStyle w:val="Heading3"/>
        <w:spacing w:after="60"/>
      </w:pPr>
      <w:r>
        <w:rPr>
          <w:b/>
          <w:color w:val="254885"/>
          <w:sz w:val="26"/>
        </w:rPr>
        <w:t>Activity 3: Post-duff-burning measurements, soil testing, and data analysis</w:t>
      </w:r>
    </w:p>
    <w:p>
      <w:r>
        <w:rPr>
          <w:b/>
        </w:rPr>
        <w:t xml:space="preserve">Activity Budget: </w:t>
      </w:r>
      <w:r>
        <w:t>$220,000</w:t>
      </w:r>
    </w:p>
    <w:p>
      <w:r>
        <w:rPr>
          <w:b/>
        </w:rPr>
        <w:t xml:space="preserve">Activity Description: </w:t>
        <w:br/>
      </w:r>
      <w:r>
        <w:t>In this task, we will perform pre- and post-burn soil analysis to characterize the duff-burn-induced soil changes. Our analyses will target bulk density, soil carbon and nitrogen contents, mass concentrations of major oxide elements (e.g., Ca, Mg, K, and P), hydrophobicity, and water infiltration rates.  Additionally, determining soil bulk density prior to and post-burning practices helps assess the soil’s capacity to store and transport heat and water. Soil carbon and nitrogen content measurements, together with bulk density, will inform the extent to which duff-burning oxidizes organic matter and nitrogen in the soils. With major oxide measurements, we will be able to assess the transfer of inorganic nutrient elements from the duff layer to mineral soils through duff-burning practices. Forest fires might change how soil materials interact with water. For example, burnt organic matter often acquires a new tendency to repel water, resulting in the loss of water infiltration into soils and subsequently increased runoff and soil erosion.  We will use Modified Philip-Dunne (MPD) infiltrators to quantify the water infiltrations before and after duff burning experiments.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the analysis of soil samples collected from the first year</w:t>
            </w:r>
          </w:p>
        </w:tc>
        <w:tc>
          <w:tcPr>
            <w:tcW w:type="dxa" w:w="2160"/>
          </w:tcPr>
          <w:p>
            <w:pPr>
              <w:jc w:val="right"/>
            </w:pPr>
            <w:r>
              <w:rPr>
                <w:sz w:val="20"/>
              </w:rPr>
              <w:t>March 31, 2027</w:t>
            </w:r>
          </w:p>
        </w:tc>
      </w:tr>
      <w:tr>
        <w:tc>
          <w:tcPr>
            <w:tcW w:type="dxa" w:w="8640"/>
          </w:tcPr>
          <w:p>
            <w:r>
              <w:rPr>
                <w:sz w:val="20"/>
              </w:rPr>
              <w:t>Complete water infiltration measurements along with the first test campaign with varying duff and soil</w:t>
            </w:r>
          </w:p>
        </w:tc>
        <w:tc>
          <w:tcPr>
            <w:tcW w:type="dxa" w:w="2160"/>
          </w:tcPr>
          <w:p>
            <w:pPr>
              <w:jc w:val="right"/>
            </w:pPr>
            <w:r>
              <w:rPr>
                <w:sz w:val="20"/>
              </w:rPr>
              <w:t>October 31, 2027</w:t>
            </w:r>
          </w:p>
        </w:tc>
      </w:tr>
      <w:tr>
        <w:tc>
          <w:tcPr>
            <w:tcW w:type="dxa" w:w="8640"/>
          </w:tcPr>
          <w:p>
            <w:r>
              <w:rPr>
                <w:sz w:val="20"/>
              </w:rPr>
              <w:t>Complete the analysis of soil samples collected from the experiments conducted in year 2</w:t>
            </w:r>
          </w:p>
        </w:tc>
        <w:tc>
          <w:tcPr>
            <w:tcW w:type="dxa" w:w="2160"/>
          </w:tcPr>
          <w:p>
            <w:pPr>
              <w:jc w:val="right"/>
            </w:pPr>
            <w:r>
              <w:rPr>
                <w:sz w:val="20"/>
              </w:rPr>
              <w:t>March 31, 2028</w:t>
            </w:r>
          </w:p>
        </w:tc>
      </w:tr>
      <w:tr>
        <w:tc>
          <w:tcPr>
            <w:tcW w:type="dxa" w:w="8640"/>
          </w:tcPr>
          <w:p>
            <w:r>
              <w:rPr>
                <w:sz w:val="20"/>
              </w:rPr>
              <w:t>Activity 3 Summary report</w:t>
            </w:r>
          </w:p>
        </w:tc>
        <w:tc>
          <w:tcPr>
            <w:tcW w:type="dxa" w:w="2160"/>
          </w:tcPr>
          <w:p>
            <w:pPr>
              <w:jc w:val="right"/>
            </w:pPr>
            <w:r>
              <w:rPr>
                <w:sz w:val="20"/>
              </w:rPr>
              <w:t>May 31, 2028</w:t>
            </w:r>
          </w:p>
        </w:tc>
      </w:tr>
    </w:tbl>
    <w:p/>
    <w:p>
      <w:pPr>
        <w:pStyle w:val="Heading3"/>
        <w:spacing w:after="60"/>
      </w:pPr>
      <w:r>
        <w:rPr>
          <w:b/>
          <w:color w:val="254885"/>
          <w:sz w:val="26"/>
        </w:rPr>
        <w:t>Activity 4: Disseminate acquired knowledge with fire managers and forest researchers</w:t>
      </w:r>
    </w:p>
    <w:p>
      <w:r>
        <w:rPr>
          <w:b/>
        </w:rPr>
        <w:t xml:space="preserve">Activity Budget: </w:t>
      </w:r>
      <w:r>
        <w:t>$40,000</w:t>
      </w:r>
    </w:p>
    <w:p>
      <w:r>
        <w:rPr>
          <w:b/>
        </w:rPr>
        <w:t xml:space="preserve">Activity Description: </w:t>
        <w:br/>
      </w:r>
      <w:r>
        <w:t>In this activity, post-duff-burning soil analysis and measurements offer valuable insights essential for developing predictive modeling capabilities for fire managers and forest researchers. By examining soil properties, nutrient levels, and hydrophobicity post-burning, researchers can better understand the immediate and long-term effects of prescribed burns on forest ecosystems. This data can be used to refine existing predictive models, allowing fire managers to anticipate and mitigate the potential impacts of future burns more effectively. Additionally, by incorporating information about soil response to duff burning into predictive models, forest researchers can improve their understanding of how different environmental factors influence fire behavior, ultimately enhancing overall forest management strategies.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additional lab and field testing, if necessary</w:t>
            </w:r>
          </w:p>
        </w:tc>
        <w:tc>
          <w:tcPr>
            <w:tcW w:type="dxa" w:w="2160"/>
          </w:tcPr>
          <w:p>
            <w:pPr>
              <w:jc w:val="right"/>
            </w:pPr>
            <w:r>
              <w:rPr>
                <w:sz w:val="20"/>
              </w:rPr>
              <w:t>October 31, 2027</w:t>
            </w:r>
          </w:p>
        </w:tc>
      </w:tr>
      <w:tr>
        <w:tc>
          <w:tcPr>
            <w:tcW w:type="dxa" w:w="8640"/>
          </w:tcPr>
          <w:p>
            <w:r>
              <w:rPr>
                <w:sz w:val="20"/>
              </w:rPr>
              <w:t>Perform additional measurements during field prescription burns, if necessary</w:t>
            </w:r>
          </w:p>
        </w:tc>
        <w:tc>
          <w:tcPr>
            <w:tcW w:type="dxa" w:w="2160"/>
          </w:tcPr>
          <w:p>
            <w:pPr>
              <w:jc w:val="right"/>
            </w:pPr>
            <w:r>
              <w:rPr>
                <w:sz w:val="20"/>
              </w:rPr>
              <w:t>October 31, 2027</w:t>
            </w:r>
          </w:p>
        </w:tc>
      </w:tr>
      <w:tr>
        <w:tc>
          <w:tcPr>
            <w:tcW w:type="dxa" w:w="8640"/>
          </w:tcPr>
          <w:p>
            <w:r>
              <w:rPr>
                <w:sz w:val="20"/>
              </w:rPr>
              <w:t>Prepare a brief summary of learnings for dissemination to fire managers</w:t>
            </w:r>
          </w:p>
        </w:tc>
        <w:tc>
          <w:tcPr>
            <w:tcW w:type="dxa" w:w="2160"/>
          </w:tcPr>
          <w:p>
            <w:pPr>
              <w:jc w:val="right"/>
            </w:pPr>
            <w:r>
              <w:rPr>
                <w:sz w:val="20"/>
              </w:rPr>
              <w:t>December 31, 2027</w:t>
            </w:r>
          </w:p>
        </w:tc>
      </w:tr>
      <w:tr>
        <w:tc>
          <w:tcPr>
            <w:tcW w:type="dxa" w:w="8640"/>
          </w:tcPr>
          <w:p>
            <w:r>
              <w:rPr>
                <w:sz w:val="20"/>
              </w:rPr>
              <w:t>Activity 4 Summary report</w:t>
            </w:r>
          </w:p>
        </w:tc>
        <w:tc>
          <w:tcPr>
            <w:tcW w:type="dxa" w:w="2160"/>
          </w:tcPr>
          <w:p>
            <w:pPr>
              <w:jc w:val="right"/>
            </w:pPr>
            <w:r>
              <w:rPr>
                <w:sz w:val="20"/>
              </w:rPr>
              <w:t>May 31, 2028</w:t>
            </w:r>
          </w:p>
        </w:tc>
      </w:tr>
    </w:tbl>
    <w:p/>
    <w:p>
      <w:pPr>
        <w:pStyle w:val="Heading3"/>
        <w:spacing w:after="60"/>
      </w:pPr>
      <w:r>
        <w:rPr>
          <w:b/>
          <w:color w:val="254885"/>
          <w:sz w:val="26"/>
        </w:rPr>
        <w:t>Activity 5: Reporting, IP and patent filing, results dissemination, and journal paper writing</w:t>
      </w:r>
    </w:p>
    <w:p>
      <w:r>
        <w:rPr>
          <w:b/>
        </w:rPr>
        <w:t xml:space="preserve">Activity Budget: </w:t>
      </w:r>
      <w:r>
        <w:t>$16,000</w:t>
      </w:r>
    </w:p>
    <w:p>
      <w:r>
        <w:rPr>
          <w:b/>
        </w:rPr>
        <w:t xml:space="preserve">Activity Description: </w:t>
        <w:br/>
      </w:r>
      <w:r>
        <w:t>This phase of the project will focus on the final data analysis and report writing. In addition to meeting the deliverable requirements of the LCCMR Fund, the project team will prepare manuscripts for submission to peer-reviewed journals and will communicate the results of the project to the DNR fire managers and other stakeholders at conferences and other meetings.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File IP and patents if necessary before any public disclose of research results</w:t>
            </w:r>
          </w:p>
        </w:tc>
        <w:tc>
          <w:tcPr>
            <w:tcW w:type="dxa" w:w="2160"/>
          </w:tcPr>
          <w:p>
            <w:pPr>
              <w:jc w:val="right"/>
            </w:pPr>
            <w:r>
              <w:rPr>
                <w:sz w:val="20"/>
              </w:rPr>
              <w:t>September 30, 2027</w:t>
            </w:r>
          </w:p>
        </w:tc>
      </w:tr>
      <w:tr>
        <w:tc>
          <w:tcPr>
            <w:tcW w:type="dxa" w:w="8640"/>
          </w:tcPr>
          <w:p>
            <w:r>
              <w:rPr>
                <w:sz w:val="20"/>
              </w:rPr>
              <w:t>Finished writing the first draft of journal/conference articles</w:t>
            </w:r>
          </w:p>
        </w:tc>
        <w:tc>
          <w:tcPr>
            <w:tcW w:type="dxa" w:w="2160"/>
          </w:tcPr>
          <w:p>
            <w:pPr>
              <w:jc w:val="right"/>
            </w:pPr>
            <w:r>
              <w:rPr>
                <w:sz w:val="20"/>
              </w:rPr>
              <w:t>March 31, 2028</w:t>
            </w:r>
          </w:p>
        </w:tc>
      </w:tr>
      <w:tr>
        <w:tc>
          <w:tcPr>
            <w:tcW w:type="dxa" w:w="8640"/>
          </w:tcPr>
          <w:p>
            <w:r>
              <w:rPr>
                <w:sz w:val="20"/>
              </w:rPr>
              <w:t>Activity 5 summary report</w:t>
            </w:r>
          </w:p>
        </w:tc>
        <w:tc>
          <w:tcPr>
            <w:tcW w:type="dxa" w:w="2160"/>
          </w:tcPr>
          <w:p>
            <w:pPr>
              <w:jc w:val="right"/>
            </w:pPr>
            <w:r>
              <w:rPr>
                <w:sz w:val="20"/>
              </w:rPr>
              <w:t>May 31, 2028</w:t>
            </w:r>
          </w:p>
        </w:tc>
      </w:tr>
      <w:tr>
        <w:tc>
          <w:tcPr>
            <w:tcW w:type="dxa" w:w="8640"/>
          </w:tcPr>
          <w:p>
            <w:r>
              <w:rPr>
                <w:sz w:val="20"/>
              </w:rPr>
              <w:t>Final project report</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Lee Frelich</w:t>
            </w:r>
          </w:p>
        </w:tc>
        <w:tc>
          <w:tcPr>
            <w:tcW w:type="dxa" w:w="1440"/>
          </w:tcPr>
          <w:p>
            <w:r>
              <w:rPr>
                <w:sz w:val="20"/>
              </w:rPr>
              <w:t>Department of Forest Resources, University of Minnesota</w:t>
            </w:r>
          </w:p>
        </w:tc>
        <w:tc>
          <w:tcPr>
            <w:tcW w:type="dxa" w:w="6840"/>
          </w:tcPr>
          <w:p>
            <w:r>
              <w:rPr>
                <w:sz w:val="20"/>
              </w:rPr>
              <w:t>Prof. Lee Frelich is the Director of the UMN Center for Forest Ecology and a top expert in fire ecology and earthworm invasion. Frelich has been a leading researcher on fire in deciduous (oak, maple) and coniferous (pine) forests for 40 years, and in earthworm invasion ecology for 25 years.</w:t>
            </w:r>
          </w:p>
        </w:tc>
        <w:tc>
          <w:tcPr>
            <w:tcW w:type="dxa" w:w="1080"/>
          </w:tcPr>
          <w:p>
            <w:r>
              <w:rPr>
                <w:sz w:val="20"/>
              </w:rPr>
              <w:t>Yes</w:t>
            </w:r>
          </w:p>
        </w:tc>
      </w:tr>
      <w:tr>
        <w:tc>
          <w:tcPr>
            <w:tcW w:type="dxa" w:w="1440"/>
          </w:tcPr>
          <w:p>
            <w:r>
              <w:rPr>
                <w:sz w:val="20"/>
              </w:rPr>
              <w:t>Kyungsoo Yoo</w:t>
            </w:r>
          </w:p>
        </w:tc>
        <w:tc>
          <w:tcPr>
            <w:tcW w:type="dxa" w:w="1440"/>
          </w:tcPr>
          <w:p>
            <w:r>
              <w:rPr>
                <w:sz w:val="20"/>
              </w:rPr>
              <w:t>Department of Soil, Water, and Climate, University of Minnesota</w:t>
            </w:r>
          </w:p>
        </w:tc>
        <w:tc>
          <w:tcPr>
            <w:tcW w:type="dxa" w:w="6840"/>
          </w:tcPr>
          <w:p>
            <w:r>
              <w:rPr>
                <w:sz w:val="20"/>
              </w:rPr>
              <w:t>Prof. Kyungsoo Yoo, an eminent soil scientist, will contribute to this project as an expert in soil genesis and soil erosion. Yoo has extensive experience studying the impacts of invasive earthworms on soil structure and biogeochemistry in Minnesota, Alaska, and Fennoscandia.</w:t>
            </w:r>
          </w:p>
        </w:tc>
        <w:tc>
          <w:tcPr>
            <w:tcW w:type="dxa" w:w="1080"/>
          </w:tcPr>
          <w:p>
            <w:r>
              <w:rPr>
                <w:sz w:val="20"/>
              </w:rPr>
              <w:t>Yes</w:t>
            </w:r>
          </w:p>
        </w:tc>
      </w:tr>
      <w:tr>
        <w:tc>
          <w:tcPr>
            <w:tcW w:type="dxa" w:w="1440"/>
          </w:tcPr>
          <w:p>
            <w:r>
              <w:rPr>
                <w:sz w:val="20"/>
              </w:rPr>
              <w:t>Christopher Feist</w:t>
            </w:r>
          </w:p>
        </w:tc>
        <w:tc>
          <w:tcPr>
            <w:tcW w:type="dxa" w:w="1440"/>
          </w:tcPr>
          <w:p>
            <w:r>
              <w:rPr>
                <w:sz w:val="20"/>
              </w:rPr>
              <w:t>St. Anthony Falls Laboratory, University of Minnesota</w:t>
            </w:r>
          </w:p>
        </w:tc>
        <w:tc>
          <w:tcPr>
            <w:tcW w:type="dxa" w:w="6840"/>
          </w:tcPr>
          <w:p>
            <w:r>
              <w:rPr>
                <w:sz w:val="20"/>
              </w:rPr>
              <w:t>Christopher Feist has been involved in SAFL and energy research on projects ranging from novel wind turbine drivetrains to energy systems to mapping the hearing abilities of bald and golden eagles. Chris will be in charge of overseeing the design and development of the duff burning facility development.</w:t>
            </w:r>
          </w:p>
        </w:tc>
        <w:tc>
          <w:tcPr>
            <w:tcW w:type="dxa" w:w="1080"/>
          </w:tcPr>
          <w:p>
            <w:r>
              <w:rPr>
                <w:sz w:val="20"/>
              </w:rPr>
              <w:t>Yes</w:t>
            </w:r>
          </w:p>
        </w:tc>
      </w:tr>
      <w:tr>
        <w:tc>
          <w:tcPr>
            <w:tcW w:type="dxa" w:w="1440"/>
          </w:tcPr>
          <w:p>
            <w:r>
              <w:rPr>
                <w:sz w:val="20"/>
              </w:rPr>
              <w:t>Ben Erickson</w:t>
            </w:r>
          </w:p>
        </w:tc>
        <w:tc>
          <w:tcPr>
            <w:tcW w:type="dxa" w:w="1440"/>
          </w:tcPr>
          <w:p>
            <w:r>
              <w:rPr>
                <w:sz w:val="20"/>
              </w:rPr>
              <w:t>St. Anthony Falls Laboratory, University of Minnesota</w:t>
            </w:r>
          </w:p>
        </w:tc>
        <w:tc>
          <w:tcPr>
            <w:tcW w:type="dxa" w:w="6840"/>
          </w:tcPr>
          <w:p>
            <w:r>
              <w:rPr>
                <w:sz w:val="20"/>
              </w:rPr>
              <w:t>Ben Erickson will provide technical support and develop the lab-scale duff burning facility used in this project.</w:t>
            </w:r>
          </w:p>
        </w:tc>
        <w:tc>
          <w:tcPr>
            <w:tcW w:type="dxa" w:w="1080"/>
          </w:tcPr>
          <w:p>
            <w:r>
              <w:rPr>
                <w:sz w:val="20"/>
              </w:rPr>
              <w:t>Yes</w:t>
            </w:r>
          </w:p>
        </w:tc>
      </w:tr>
      <w:tr>
        <w:tc>
          <w:tcPr>
            <w:tcW w:type="dxa" w:w="1440"/>
          </w:tcPr>
          <w:p>
            <w:r>
              <w:rPr>
                <w:sz w:val="20"/>
              </w:rPr>
              <w:t>Erik Noren</w:t>
            </w:r>
          </w:p>
        </w:tc>
        <w:tc>
          <w:tcPr>
            <w:tcW w:type="dxa" w:w="1440"/>
          </w:tcPr>
          <w:p>
            <w:r>
              <w:rPr>
                <w:sz w:val="20"/>
              </w:rPr>
              <w:t>St. Anthony Falls Laboratory, University of Minnesota</w:t>
            </w:r>
          </w:p>
        </w:tc>
        <w:tc>
          <w:tcPr>
            <w:tcW w:type="dxa" w:w="6840"/>
          </w:tcPr>
          <w:p>
            <w:r>
              <w:rPr>
                <w:sz w:val="20"/>
              </w:rPr>
              <w:t>Ben Erickson will provide technical support and develop the lab-scale duff burning facility used in this project.</w:t>
            </w:r>
          </w:p>
        </w:tc>
        <w:tc>
          <w:tcPr>
            <w:tcW w:type="dxa" w:w="1080"/>
          </w:tcPr>
          <w:p>
            <w:r>
              <w:rPr>
                <w:sz w:val="20"/>
              </w:rPr>
              <w:t>Yes</w:t>
            </w:r>
          </w:p>
        </w:tc>
      </w:tr>
      <w:tr>
        <w:tc>
          <w:tcPr>
            <w:tcW w:type="dxa" w:w="1440"/>
          </w:tcPr>
          <w:p>
            <w:r>
              <w:rPr>
                <w:sz w:val="20"/>
              </w:rPr>
              <w:t>Erik Steen</w:t>
            </w:r>
          </w:p>
        </w:tc>
        <w:tc>
          <w:tcPr>
            <w:tcW w:type="dxa" w:w="1440"/>
          </w:tcPr>
          <w:p>
            <w:r>
              <w:rPr>
                <w:sz w:val="20"/>
              </w:rPr>
              <w:t>St. Anthony Falls Laboratory, University of Minnesota</w:t>
            </w:r>
          </w:p>
        </w:tc>
        <w:tc>
          <w:tcPr>
            <w:tcW w:type="dxa" w:w="6840"/>
          </w:tcPr>
          <w:p>
            <w:r>
              <w:rPr>
                <w:sz w:val="20"/>
              </w:rPr>
              <w:t>Erik Steen will provide technical support for the development of the duff burning system. Erik is also the safety officer of the research site and will develop safety plans at the test site.</w:t>
            </w:r>
          </w:p>
        </w:tc>
        <w:tc>
          <w:tcPr>
            <w:tcW w:type="dxa" w:w="1080"/>
          </w:tcPr>
          <w:p>
            <w:r>
              <w:rPr>
                <w:sz w:val="20"/>
              </w:rPr>
              <w:t>Yes</w:t>
            </w:r>
          </w:p>
        </w:tc>
      </w:tr>
      <w:tr>
        <w:tc>
          <w:tcPr>
            <w:tcW w:type="dxa" w:w="1440"/>
          </w:tcPr>
          <w:p>
            <w:r>
              <w:rPr>
                <w:sz w:val="20"/>
              </w:rPr>
              <w:t>Matthew Lueker</w:t>
            </w:r>
          </w:p>
        </w:tc>
        <w:tc>
          <w:tcPr>
            <w:tcW w:type="dxa" w:w="1440"/>
          </w:tcPr>
          <w:p>
            <w:r>
              <w:rPr>
                <w:sz w:val="20"/>
              </w:rPr>
              <w:t>Saint Anthony Falls Laboratory</w:t>
            </w:r>
          </w:p>
        </w:tc>
        <w:tc>
          <w:tcPr>
            <w:tcW w:type="dxa" w:w="6840"/>
          </w:tcPr>
          <w:p>
            <w:r>
              <w:rPr>
                <w:sz w:val="20"/>
              </w:rPr>
              <w:t>Matthew Lueker will provide technical support for construction of the experimental duff burning apparatus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Plans for dissemination, presentation, documentation, and sharing</w:t>
        <w:br/>
        <w:br/>
        <w:t>Our approach to dissemination and sharing is guided by the following goals:</w:t>
        <w:br/>
        <w:br/>
        <w:t>- Engaging beneficiaries: We will actively involve and inform stakeholders such as forest and fire managers, soil surveyors, and land managers throughout the research process. This will be achieved through regular updates, relevant workshops, and collaborative meetings (virtual/in-person) to ensure that those who could benefit most from our findings are aware of the ongoing research and its potential implications.</w:t>
        <w:br/>
        <w:br/>
        <w:t>- Sharing results for resource management: Research findings will be disseminated through a combination of scientific publications, technical reports, and presentations at relevant conferences and workshops. Additionally, we will provide tailored briefings and summaries to resource management entities in Minnesota to help them apply the results to improve land and resource management practices.</w:t>
        <w:br/>
        <w:br/>
        <w:t>- Ensuring longevity of collections and products: All physical collections, data, and other products generated from this research will be carefully documented and preserved. We will collaborate with local institutions and repositories to ensure that these materials are accessible for future research and reference. This will include archiving datasets in publicly accessible databases and ensuring the long-term availability of any physical samples or collections.</w:t>
        <w:br/>
        <w:br/>
        <w:t>- Promoting behavioral change: Our outreach efforts will include educational materials, policy briefs, and community engagement initiatives aimed at promoting behaviors that better protect, conserve, and enhance Minnesota's environment and natural resources. We will work with local organizations, schools, and community groups to raise awareness and encourage the adoption of best practices informed by our research.</w:t>
        <w:br/>
        <w:br/>
        <w:t>- Communicating with Minnesotans: We are committed to sharing our work with the broader Minnesota public in an accessible and engaging manner. This will involve creating informational content such as articles, videos, and presentations designed for non-technical audiences, which will be distributed through various media channels, including social media, public talks, and partnerships with local news outlets. Additionally, we will participate in community events and exhibitions to showcase the progress and impact of our research, highlighting the role of the Environment and Natural Resources Trust Fund in making this work possible.</w:t>
        <w:br/>
        <w:br/>
        <w:t>The official ENTRF attribution language and logo will be included in all presentations, print  and electronic publications, signage, or other communications based on this project, and the attribution language will also be included in the Acknowledgements section of any peer-reviewed journal articles that result from this project.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Our project aims to thoroughly investigate the impact of forest floor duff fires on soil dynamics, nutrient cycles, invasive shrubs, earthworms, and root systems. This knowledge will be shared with Minnesota fire managers and researchers through the DNR. Our study will contribute to the development of an improved Forest Fire Control System to enhance future forest fire management strategies. This will be achieved through our Co-PIs engaging with the DNR to discuss and incorporate the results into the project or by presenting findings at conferences.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A Biodiversity Checkup for Minnesota’s Big Woods</w:t>
            </w:r>
          </w:p>
        </w:tc>
        <w:tc>
          <w:tcPr>
            <w:tcW w:type="dxa" w:w="4680"/>
          </w:tcPr>
          <w:p>
            <w:r>
              <w:rPr>
                <w:sz w:val="20"/>
              </w:rPr>
              <w:t>M.L. 2021, First Special Session, Chp. 6, Art. 6, Sec. 2, Subd. 03l</w:t>
            </w:r>
          </w:p>
        </w:tc>
        <w:tc>
          <w:tcPr>
            <w:tcW w:type="dxa" w:w="1440"/>
          </w:tcPr>
          <w:p>
            <w:pPr>
              <w:jc w:val="right"/>
            </w:pPr>
            <w:r>
              <w:rPr>
                <w:sz w:val="20"/>
              </w:rPr>
              <w:t>$109,000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Lee Frelich</w:t>
            </w:r>
          </w:p>
        </w:tc>
        <w:tc>
          <w:tcPr>
            <w:tcW w:type="dxa" w:w="1440"/>
          </w:tcPr>
          <w:p>
            <w:r>
              <w:rPr>
                <w:sz w:val="20"/>
              </w:rPr>
            </w:r>
          </w:p>
        </w:tc>
        <w:tc>
          <w:tcPr>
            <w:tcW w:type="dxa" w:w="5472"/>
          </w:tcPr>
          <w:p>
            <w:r>
              <w:rPr>
                <w:sz w:val="20"/>
              </w:rPr>
              <w:t>Co-PI</w:t>
            </w:r>
          </w:p>
        </w:tc>
        <w:tc>
          <w:tcPr>
            <w:tcW w:type="dxa" w:w="4032"/>
          </w:tcPr>
          <w:p>
            <w:r>
              <w:rPr>
                <w:sz w:val="20"/>
              </w:rPr>
            </w:r>
          </w:p>
        </w:tc>
        <w:tc>
          <w:tcPr>
            <w:tcW w:type="dxa" w:w="360"/>
          </w:tcPr>
          <w:p>
            <w:r>
              <w:rPr>
                <w:sz w:val="20"/>
              </w:rPr>
            </w:r>
          </w:p>
        </w:tc>
        <w:tc>
          <w:tcPr>
            <w:tcW w:type="dxa" w:w="360"/>
          </w:tcPr>
          <w:p>
            <w:pPr>
              <w:jc w:val="right"/>
            </w:pPr>
            <w:r>
              <w:rPr>
                <w:sz w:val="20"/>
              </w:rPr>
              <w:t>27.06%</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$15,810</w:t>
            </w:r>
          </w:p>
        </w:tc>
      </w:tr>
      <w:tr>
        <w:tc>
          <w:tcPr>
            <w:tcW w:type="dxa" w:w="864"/>
          </w:tcPr>
          <w:p>
            <w:r>
              <w:rPr>
                <w:sz w:val="20"/>
              </w:rPr>
              <w:t>Kyungsoo Yoo</w:t>
            </w:r>
          </w:p>
        </w:tc>
        <w:tc>
          <w:tcPr>
            <w:tcW w:type="dxa" w:w="1440"/>
          </w:tcPr>
          <w:p>
            <w:r>
              <w:rPr>
                <w:sz w:val="20"/>
              </w:rPr>
            </w:r>
          </w:p>
        </w:tc>
        <w:tc>
          <w:tcPr>
            <w:tcW w:type="dxa" w:w="5472"/>
          </w:tcPr>
          <w:p>
            <w:r>
              <w:rPr>
                <w:sz w:val="20"/>
              </w:rPr>
              <w:t>Co-PI</w:t>
            </w:r>
          </w:p>
        </w:tc>
        <w:tc>
          <w:tcPr>
            <w:tcW w:type="dxa" w:w="4032"/>
          </w:tcPr>
          <w:p>
            <w:r>
              <w:rPr>
                <w:sz w:val="20"/>
              </w:rPr>
            </w:r>
          </w:p>
        </w:tc>
        <w:tc>
          <w:tcPr>
            <w:tcW w:type="dxa" w:w="360"/>
          </w:tcPr>
          <w:p>
            <w:r>
              <w:rPr>
                <w:sz w:val="20"/>
              </w:rPr>
            </w:r>
          </w:p>
        </w:tc>
        <w:tc>
          <w:tcPr>
            <w:tcW w:type="dxa" w:w="360"/>
          </w:tcPr>
          <w:p>
            <w:pPr>
              <w:jc w:val="right"/>
            </w:pPr>
            <w:r>
              <w:rPr>
                <w:sz w:val="20"/>
              </w:rPr>
              <w:t>27.06%</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$19,092</w:t>
            </w:r>
          </w:p>
        </w:tc>
      </w:tr>
      <w:tr>
        <w:tc>
          <w:tcPr>
            <w:tcW w:type="dxa" w:w="864"/>
          </w:tcPr>
          <w:p>
            <w:r>
              <w:rPr>
                <w:sz w:val="20"/>
              </w:rPr>
              <w:t>LAAS Research Assistant 1</w:t>
            </w:r>
          </w:p>
        </w:tc>
        <w:tc>
          <w:tcPr>
            <w:tcW w:type="dxa" w:w="1440"/>
          </w:tcPr>
          <w:p>
            <w:r>
              <w:rPr>
                <w:sz w:val="20"/>
              </w:rPr>
            </w:r>
          </w:p>
        </w:tc>
        <w:tc>
          <w:tcPr>
            <w:tcW w:type="dxa" w:w="5472"/>
          </w:tcPr>
          <w:p>
            <w:r>
              <w:rPr>
                <w:sz w:val="20"/>
              </w:rPr>
              <w:t>Research Assistant</w:t>
            </w:r>
          </w:p>
        </w:tc>
        <w:tc>
          <w:tcPr>
            <w:tcW w:type="dxa" w:w="4032"/>
          </w:tcPr>
          <w:p>
            <w:r>
              <w:rPr>
                <w:sz w:val="20"/>
              </w:rPr>
            </w:r>
          </w:p>
        </w:tc>
        <w:tc>
          <w:tcPr>
            <w:tcW w:type="dxa" w:w="360"/>
          </w:tcPr>
          <w:p>
            <w:r>
              <w:rPr>
                <w:sz w:val="20"/>
              </w:rPr>
            </w:r>
          </w:p>
        </w:tc>
        <w:tc>
          <w:tcPr>
            <w:tcW w:type="dxa" w:w="360"/>
          </w:tcPr>
          <w:p>
            <w:pPr>
              <w:jc w:val="right"/>
            </w:pPr>
            <w:r>
              <w:rPr>
                <w:sz w:val="20"/>
              </w:rPr>
              <w:t>45.74%</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$196,769</w:t>
            </w:r>
          </w:p>
        </w:tc>
      </w:tr>
      <w:tr>
        <w:tc>
          <w:tcPr>
            <w:tcW w:type="dxa" w:w="864"/>
          </w:tcPr>
          <w:p>
            <w:r>
              <w:rPr>
                <w:sz w:val="20"/>
              </w:rPr>
              <w:t>Ben Erickson</w:t>
            </w:r>
          </w:p>
        </w:tc>
        <w:tc>
          <w:tcPr>
            <w:tcW w:type="dxa" w:w="1440"/>
          </w:tcPr>
          <w:p>
            <w:r>
              <w:rPr>
                <w:sz w:val="20"/>
              </w:rPr>
            </w:r>
          </w:p>
        </w:tc>
        <w:tc>
          <w:tcPr>
            <w:tcW w:type="dxa" w:w="5472"/>
          </w:tcPr>
          <w:p>
            <w:r>
              <w:rPr>
                <w:sz w:val="20"/>
              </w:rPr>
              <w:t>Senior Personnel</w:t>
            </w:r>
          </w:p>
        </w:tc>
        <w:tc>
          <w:tcPr>
            <w:tcW w:type="dxa" w:w="4032"/>
          </w:tcPr>
          <w:p>
            <w:r>
              <w:rPr>
                <w:sz w:val="20"/>
              </w:rPr>
            </w:r>
          </w:p>
        </w:tc>
        <w:tc>
          <w:tcPr>
            <w:tcW w:type="dxa" w:w="360"/>
          </w:tcPr>
          <w:p>
            <w:r>
              <w:rPr>
                <w:sz w:val="20"/>
              </w:rPr>
            </w:r>
          </w:p>
        </w:tc>
        <w:tc>
          <w:tcPr>
            <w:tcW w:type="dxa" w:w="360"/>
          </w:tcPr>
          <w:p>
            <w:pPr>
              <w:jc w:val="right"/>
            </w:pPr>
            <w:r>
              <w:rPr>
                <w:sz w:val="20"/>
              </w:rPr>
              <w:t>36%</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$7,017</w:t>
            </w:r>
          </w:p>
        </w:tc>
      </w:tr>
      <w:tr>
        <w:tc>
          <w:tcPr>
            <w:tcW w:type="dxa" w:w="864"/>
          </w:tcPr>
          <w:p>
            <w:r>
              <w:rPr>
                <w:sz w:val="20"/>
              </w:rPr>
              <w:t>Erik Noren</w:t>
            </w:r>
          </w:p>
        </w:tc>
        <w:tc>
          <w:tcPr>
            <w:tcW w:type="dxa" w:w="1440"/>
          </w:tcPr>
          <w:p>
            <w:r>
              <w:rPr>
                <w:sz w:val="20"/>
              </w:rPr>
            </w:r>
          </w:p>
        </w:tc>
        <w:tc>
          <w:tcPr>
            <w:tcW w:type="dxa" w:w="5472"/>
          </w:tcPr>
          <w:p>
            <w:r>
              <w:rPr>
                <w:sz w:val="20"/>
              </w:rPr>
              <w:t>Senior Personnel</w:t>
            </w:r>
          </w:p>
        </w:tc>
        <w:tc>
          <w:tcPr>
            <w:tcW w:type="dxa" w:w="4032"/>
          </w:tcPr>
          <w:p>
            <w:r>
              <w:rPr>
                <w:sz w:val="20"/>
              </w:rPr>
            </w:r>
          </w:p>
        </w:tc>
        <w:tc>
          <w:tcPr>
            <w:tcW w:type="dxa" w:w="360"/>
          </w:tcPr>
          <w:p>
            <w:r>
              <w:rPr>
                <w:sz w:val="20"/>
              </w:rPr>
            </w:r>
          </w:p>
        </w:tc>
        <w:tc>
          <w:tcPr>
            <w:tcW w:type="dxa" w:w="360"/>
          </w:tcPr>
          <w:p>
            <w:pPr>
              <w:jc w:val="right"/>
            </w:pPr>
            <w:r>
              <w:rPr>
                <w:sz w:val="20"/>
              </w:rPr>
              <w:t>36.09%</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$15,565</w:t>
            </w:r>
          </w:p>
        </w:tc>
      </w:tr>
      <w:tr>
        <w:tc>
          <w:tcPr>
            <w:tcW w:type="dxa" w:w="864"/>
          </w:tcPr>
          <w:p>
            <w:r>
              <w:rPr>
                <w:sz w:val="20"/>
              </w:rPr>
              <w:t>Chris Feist</w:t>
            </w:r>
          </w:p>
        </w:tc>
        <w:tc>
          <w:tcPr>
            <w:tcW w:type="dxa" w:w="1440"/>
          </w:tcPr>
          <w:p>
            <w:r>
              <w:rPr>
                <w:sz w:val="20"/>
              </w:rPr>
            </w:r>
          </w:p>
        </w:tc>
        <w:tc>
          <w:tcPr>
            <w:tcW w:type="dxa" w:w="5472"/>
          </w:tcPr>
          <w:p>
            <w:r>
              <w:rPr>
                <w:sz w:val="20"/>
              </w:rPr>
              <w:t>Co-PI</w:t>
            </w:r>
          </w:p>
        </w:tc>
        <w:tc>
          <w:tcPr>
            <w:tcW w:type="dxa" w:w="4032"/>
          </w:tcPr>
          <w:p>
            <w:r>
              <w:rPr>
                <w:sz w:val="20"/>
              </w:rPr>
            </w:r>
          </w:p>
        </w:tc>
        <w:tc>
          <w:tcPr>
            <w:tcW w:type="dxa" w:w="360"/>
          </w:tcPr>
          <w:p>
            <w:r>
              <w:rPr>
                <w:sz w:val="20"/>
              </w:rPr>
            </w:r>
          </w:p>
        </w:tc>
        <w:tc>
          <w:tcPr>
            <w:tcW w:type="dxa" w:w="360"/>
          </w:tcPr>
          <w:p>
            <w:pPr>
              <w:jc w:val="right"/>
            </w:pPr>
            <w:r>
              <w:rPr>
                <w:sz w:val="20"/>
              </w:rPr>
              <w:t>36%</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$4,000</w:t>
            </w:r>
          </w:p>
        </w:tc>
      </w:tr>
      <w:tr>
        <w:tc>
          <w:tcPr>
            <w:tcW w:type="dxa" w:w="864"/>
          </w:tcPr>
          <w:p>
            <w:r>
              <w:rPr>
                <w:sz w:val="20"/>
              </w:rPr>
              <w:t>Erik Steen</w:t>
            </w:r>
          </w:p>
        </w:tc>
        <w:tc>
          <w:tcPr>
            <w:tcW w:type="dxa" w:w="1440"/>
          </w:tcPr>
          <w:p>
            <w:r>
              <w:rPr>
                <w:sz w:val="20"/>
              </w:rPr>
            </w:r>
          </w:p>
        </w:tc>
        <w:tc>
          <w:tcPr>
            <w:tcW w:type="dxa" w:w="5472"/>
          </w:tcPr>
          <w:p>
            <w:r>
              <w:rPr>
                <w:sz w:val="20"/>
              </w:rPr>
              <w:t>Senior Personnel</w:t>
            </w:r>
          </w:p>
        </w:tc>
        <w:tc>
          <w:tcPr>
            <w:tcW w:type="dxa" w:w="4032"/>
          </w:tcPr>
          <w:p>
            <w:r>
              <w:rPr>
                <w:sz w:val="20"/>
              </w:rPr>
            </w:r>
          </w:p>
        </w:tc>
        <w:tc>
          <w:tcPr>
            <w:tcW w:type="dxa" w:w="360"/>
          </w:tcPr>
          <w:p>
            <w:r>
              <w:rPr>
                <w:sz w:val="20"/>
              </w:rPr>
            </w:r>
          </w:p>
        </w:tc>
        <w:tc>
          <w:tcPr>
            <w:tcW w:type="dxa" w:w="360"/>
          </w:tcPr>
          <w:p>
            <w:pPr>
              <w:jc w:val="right"/>
            </w:pPr>
            <w:r>
              <w:rPr>
                <w:sz w:val="20"/>
              </w:rPr>
              <w:t>36.24%</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$26,966</w:t>
            </w:r>
          </w:p>
        </w:tc>
      </w:tr>
      <w:tr>
        <w:tc>
          <w:tcPr>
            <w:tcW w:type="dxa" w:w="864"/>
          </w:tcPr>
          <w:p>
            <w:r>
              <w:rPr>
                <w:sz w:val="20"/>
              </w:rPr>
              <w:t>Undergraduate Students</w:t>
            </w:r>
          </w:p>
        </w:tc>
        <w:tc>
          <w:tcPr>
            <w:tcW w:type="dxa" w:w="1440"/>
          </w:tcPr>
          <w:p>
            <w:r>
              <w:rPr>
                <w:sz w:val="20"/>
              </w:rPr>
            </w:r>
          </w:p>
        </w:tc>
        <w:tc>
          <w:tcPr>
            <w:tcW w:type="dxa" w:w="5472"/>
          </w:tcPr>
          <w:p>
            <w:r>
              <w:rPr>
                <w:sz w:val="20"/>
              </w:rPr>
              <w:t>Undergraduate Student lab and field assistants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$20,000</w:t>
            </w:r>
          </w:p>
        </w:tc>
      </w:tr>
      <w:tr>
        <w:tc>
          <w:tcPr>
            <w:tcW w:type="dxa" w:w="864"/>
          </w:tcPr>
          <w:p>
            <w:r>
              <w:rPr>
                <w:sz w:val="20"/>
              </w:rPr>
              <w:t>LAAS Research Assistant 2</w:t>
            </w:r>
          </w:p>
        </w:tc>
        <w:tc>
          <w:tcPr>
            <w:tcW w:type="dxa" w:w="1440"/>
          </w:tcPr>
          <w:p>
            <w:r>
              <w:rPr>
                <w:sz w:val="20"/>
              </w:rPr>
            </w:r>
          </w:p>
        </w:tc>
        <w:tc>
          <w:tcPr>
            <w:tcW w:type="dxa" w:w="5472"/>
          </w:tcPr>
          <w:p>
            <w:r>
              <w:rPr>
                <w:sz w:val="20"/>
              </w:rPr>
              <w:t>Graduate research assistant</w:t>
            </w:r>
          </w:p>
        </w:tc>
        <w:tc>
          <w:tcPr>
            <w:tcW w:type="dxa" w:w="4032"/>
          </w:tcPr>
          <w:p>
            <w:r>
              <w:rPr>
                <w:sz w:val="20"/>
              </w:rPr>
            </w:r>
          </w:p>
        </w:tc>
        <w:tc>
          <w:tcPr>
            <w:tcW w:type="dxa" w:w="360"/>
          </w:tcPr>
          <w:p>
            <w:r>
              <w:rPr>
                <w:sz w:val="20"/>
              </w:rPr>
            </w:r>
          </w:p>
        </w:tc>
        <w:tc>
          <w:tcPr>
            <w:tcW w:type="dxa" w:w="360"/>
          </w:tcPr>
          <w:p>
            <w:pPr>
              <w:jc w:val="right"/>
            </w:pPr>
            <w:r>
              <w:rPr>
                <w:sz w:val="20"/>
              </w:rPr>
              <w:t>45.74%</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$133,108</w:t>
            </w:r>
          </w:p>
        </w:tc>
      </w:tr>
      <w:tr>
        <w:tc>
          <w:tcPr>
            <w:tcW w:type="dxa" w:w="864"/>
          </w:tcPr>
          <w:p>
            <w:r>
              <w:rPr>
                <w:sz w:val="20"/>
              </w:rPr>
              <w:t>Matthew Lueker</w:t>
            </w:r>
          </w:p>
        </w:tc>
        <w:tc>
          <w:tcPr>
            <w:tcW w:type="dxa" w:w="1440"/>
          </w:tcPr>
          <w:p>
            <w:r>
              <w:rPr>
                <w:sz w:val="20"/>
              </w:rPr>
            </w:r>
          </w:p>
        </w:tc>
        <w:tc>
          <w:tcPr>
            <w:tcW w:type="dxa" w:w="5472"/>
          </w:tcPr>
          <w:p>
            <w:r>
              <w:rPr>
                <w:sz w:val="20"/>
              </w:rPr>
              <w:t>Senior Personnel</w:t>
            </w:r>
          </w:p>
        </w:tc>
        <w:tc>
          <w:tcPr>
            <w:tcW w:type="dxa" w:w="4032"/>
          </w:tcPr>
          <w:p>
            <w:r>
              <w:rPr>
                <w:sz w:val="20"/>
              </w:rPr>
            </w:r>
          </w:p>
        </w:tc>
        <w:tc>
          <w:tcPr>
            <w:tcW w:type="dxa" w:w="360"/>
          </w:tcPr>
          <w:p>
            <w:r>
              <w:rPr>
                <w:sz w:val="20"/>
              </w:rPr>
            </w:r>
          </w:p>
        </w:tc>
        <w:tc>
          <w:tcPr>
            <w:tcW w:type="dxa" w:w="360"/>
          </w:tcPr>
          <w:p>
            <w:pPr>
              <w:jc w:val="right"/>
            </w:pPr>
            <w:r>
              <w:rPr>
                <w:sz w:val="20"/>
              </w:rPr>
              <w:t>36%</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$10,800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$449,127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Soil testing laboratory, University of Minnesota</w:t>
            </w:r>
          </w:p>
        </w:tc>
        <w:tc>
          <w:tcPr>
            <w:tcW w:type="dxa" w:w="1440"/>
          </w:tcPr>
          <w:p>
            <w:r>
              <w:rPr>
                <w:sz w:val="20"/>
              </w:rPr>
              <w:t>Internal services or fees (uncommon)</w:t>
            </w:r>
          </w:p>
        </w:tc>
        <w:tc>
          <w:tcPr>
            <w:tcW w:type="dxa" w:w="5472"/>
          </w:tcPr>
          <w:p>
            <w:r>
              <w:rPr>
                <w:sz w:val="20"/>
              </w:rPr>
              <w:t>Estimated 320 soil samples to characterize changes in soil chemistry before and after experimental duff burning. Total C and N would cost about $155 per sample and other tests such as exchangeable cations and pH would cost $70 per sample. The total allocation for soil sample analyses is $72,000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Camera system and Data Acquisition (DAQ) system, note that these two items are assembled from components that cost less than $5,000, so that they are not considered capital expenditures. Additional items: Soil temperature measurement thermocouples, Radiant heater protective enclosures for electronic components, Software for data analysis and visualization, Calibration equipment for thermocouples, Mounting hardware and brackets for installation, Safety equipment (e.g., fire extinguishers, protective gear), and water tanks and gasoline generators to operate the mobile duff burning device in field locations.</w:t>
            </w:r>
          </w:p>
        </w:tc>
        <w:tc>
          <w:tcPr>
            <w:tcW w:type="dxa" w:w="4032"/>
          </w:tcPr>
          <w:p>
            <w:r>
              <w:rPr>
                <w:sz w:val="20"/>
              </w:rPr>
              <w:t>The budget allocated for the instrumentation of the duff burning facility encompasses various essential components necessary for comprehensive data collection and analysis. This includes acquiring a camera system to capture visual data during the burning process, a Data Acquisition (DAQ) system to record and monitor critical parameters in real-time, soil temperature measurement thermocouples for precise temperature monitoring of the soil surface and subsurface layers, and a radiant heater to facilitate controlled burning experiments. Each of these instruments plays a crucial role in enabling researchers to observe, analyze, and understand the dynamics of duff burning behavior, providing valuable insights into fire management strategies and forest ecosystem dynamics.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$35,571</w:t>
            </w:r>
          </w:p>
        </w:tc>
      </w:tr>
      <w:tr>
        <w:tc>
          <w:tcPr>
            <w:tcW w:type="dxa" w:w="864"/>
          </w:tcPr>
          <w:p>
            <w:r>
              <w:rPr>
                <w:sz w:val="20"/>
              </w:rPr>
            </w:r>
          </w:p>
        </w:tc>
        <w:tc>
          <w:tcPr>
            <w:tcW w:type="dxa" w:w="1440"/>
          </w:tcPr>
          <w:p>
            <w:r>
              <w:rPr>
                <w:sz w:val="20"/>
              </w:rPr>
              <w:t>Tools and Supplies</w:t>
            </w:r>
          </w:p>
        </w:tc>
        <w:tc>
          <w:tcPr>
            <w:tcW w:type="dxa" w:w="5472"/>
          </w:tcPr>
          <w:p>
            <w:r>
              <w:rPr>
                <w:sz w:val="20"/>
              </w:rPr>
              <w:t>The requested budget for materials and supplies encompasses various consumables essential for the project's operations. These expenses are estimated based on previous supply purchases and include energetic polymer binders and plasticizers totaling $10,000 per year, oxidizer and forest duff amounting to $5,000 per year, and curing agent, reagent, stabilizer, and catalyst totaling $3,000 per year. Additionally, cleaning chemicals are budgeted at $500 per year, with controls and wiring allocated $1,000 per year, and mechanical parts and fasteners set at $500 per year. These supplies encompass items such as soils, duff, oxidizers, duff fuels, chemicals, as well as miscellaneous consumables required for conducting experiments and maintaining equipment.</w:t>
            </w:r>
          </w:p>
        </w:tc>
        <w:tc>
          <w:tcPr>
            <w:tcW w:type="dxa" w:w="4032"/>
          </w:tcPr>
          <w:p>
            <w:r>
              <w:rPr>
                <w:sz w:val="20"/>
              </w:rPr>
              <w:t>The requested budget for materials and supplies is essential for supporting the duff burning facility experiments. Energetic polymer binders and plasticizers enable stable duff fuel formulation, facilitating controlled combustion experiments. Oxidizer and forest duff provide realistic fire scenarios for studying ignition and propagation dynamics. Additionally, curing agents, stabilizers, and cleaning chemicals ensure material stability and equipment maintenance, contributing to reliable experimental outcomes. Controls, wiring, and mechanical parts are vital for setup operation and safety. Overall, these supplies are critical for conducting comprehensive experiments and gaining insights into forest fire dynamics.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$24,802</w:t>
            </w:r>
          </w:p>
        </w:tc>
      </w:tr>
      <w:tr>
        <w:tc>
          <w:tcPr>
            <w:tcW w:type="dxa" w:w="864"/>
          </w:tcPr>
          <w:p>
            <w:r>
              <w:rPr>
                <w:sz w:val="20"/>
              </w:rPr>
            </w:r>
          </w:p>
        </w:tc>
        <w:tc>
          <w:tcPr>
            <w:tcW w:type="dxa" w:w="1440"/>
          </w:tcPr>
          <w:p>
            <w:r>
              <w:rPr>
                <w:sz w:val="20"/>
              </w:rPr>
              <w:t>Equipment</w:t>
            </w:r>
          </w:p>
        </w:tc>
        <w:tc>
          <w:tcPr>
            <w:tcW w:type="dxa" w:w="5472"/>
          </w:tcPr>
          <w:p>
            <w:r>
              <w:rPr>
                <w:sz w:val="20"/>
              </w:rPr>
              <w:t>Additionally, we plan to manufacture 5 Modified Philip-Dunne (MPD) infiltrators at a cost of $2,500 in Year 1.</w:t>
            </w:r>
          </w:p>
        </w:tc>
        <w:tc>
          <w:tcPr>
            <w:tcW w:type="dxa" w:w="4032"/>
          </w:tcPr>
          <w:p>
            <w:r>
              <w:rPr>
                <w:sz w:val="20"/>
              </w:rPr>
              <w:t>The MPD measures hydraulic conductivity, in other words how easily water can move into/through the soil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tcPr>
          <w:p>
            <w:r>
              <w:rPr>
                <w:sz w:val="20"/>
              </w:rPr>
            </w:r>
          </w:p>
        </w:tc>
        <w:tc>
          <w:tcPr>
            <w:tcW w:type="dxa" w:w="1440"/>
          </w:tcPr>
          <w:p>
            <w:r>
              <w:rPr>
                <w:sz w:val="20"/>
              </w:rPr>
              <w:t>Tools and Supplies</w:t>
            </w:r>
          </w:p>
        </w:tc>
        <w:tc>
          <w:tcPr>
            <w:tcW w:type="dxa" w:w="5472"/>
          </w:tcPr>
          <w:p>
            <w:r>
              <w:rPr>
                <w:sz w:val="20"/>
              </w:rPr>
              <w:t>We budget $2,000 annually for field and lab supplies.</w:t>
            </w:r>
          </w:p>
        </w:tc>
        <w:tc>
          <w:tcPr>
            <w:tcW w:type="dxa" w:w="4032"/>
          </w:tcPr>
          <w:p>
            <w:r>
              <w:rPr>
                <w:sz w:val="20"/>
              </w:rPr>
              <w:t>Items such as soil corers for collecting soil samples, containers for storing and transporting samples, sieves for sorting soil, measurement devices and chemical reagents needed for soil analyses done in the lab by graduate students.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tcPr>
          <w:p>
            <w:r>
              <w:rPr>
                <w:sz w:val="20"/>
              </w:rPr>
            </w:r>
          </w:p>
        </w:tc>
        <w:tc>
          <w:tcPr>
            <w:tcW w:type="dxa" w:w="1440"/>
          </w:tcPr>
          <w:p>
            <w:r>
              <w:rPr>
                <w:sz w:val="20"/>
              </w:rPr>
              <w:t>Tools and Supplies</w:t>
            </w:r>
          </w:p>
        </w:tc>
        <w:tc>
          <w:tcPr>
            <w:tcW w:type="dxa" w:w="5472"/>
          </w:tcPr>
          <w:p>
            <w:r>
              <w:rPr>
                <w:sz w:val="20"/>
              </w:rPr>
              <w:t>Materials for construction and maintenance of the portable duff burning facility</w:t>
            </w:r>
          </w:p>
        </w:tc>
        <w:tc>
          <w:tcPr>
            <w:tcW w:type="dxa" w:w="4032"/>
          </w:tcPr>
          <w:p>
            <w:r>
              <w:rPr>
                <w:sz w:val="20"/>
              </w:rPr>
              <w:t>During Year 1 and 2, Saint Anthony Falls lab personnel will construct the duff burning facility as well as carry out trouble shooting and maintenance (which is covered under personnel). However, they will use a variety of materials such as steel and glass, etc. to build and maintain the facility which is budgeted here.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$92,873</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Travelling to different MN prescribed burn sites, forests to collect different duff species, and travel to different forest in general to understand their environmental conditions. 4 trips to four field sites (tbd) in MN for PI Frelich and Co-PI Yoo, and 8 trips for each of 2 graduate students and an undergraduate field assistant.</w:t>
            </w:r>
          </w:p>
        </w:tc>
        <w:tc>
          <w:tcPr>
            <w:tcW w:type="dxa" w:w="4032"/>
          </w:tcPr>
          <w:p>
            <w:r>
              <w:rPr>
                <w:sz w:val="20"/>
              </w:rPr>
              <w:t>Testing campaign, resource management, duff collection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2 trips each for PI Frelich and Co-PI Yoo, and 1 trip for each of 2 graduate students to appropriate conferences</w:t>
            </w:r>
          </w:p>
        </w:tc>
        <w:tc>
          <w:tcPr>
            <w:tcW w:type="dxa" w:w="4032"/>
          </w:tcPr>
          <w:p>
            <w:r>
              <w:rPr>
                <w:sz w:val="20"/>
              </w:rPr>
              <w:t>Dissemination of results to scientists and forest managers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costs for 2 publications in open source journals</w:t>
            </w:r>
          </w:p>
        </w:tc>
        <w:tc>
          <w:tcPr>
            <w:tcW w:type="dxa" w:w="4032"/>
          </w:tcPr>
          <w:p>
            <w:r>
              <w:rPr>
                <w:sz w:val="20"/>
              </w:rPr>
              <w:t>Open source journal let everyone access the research results at free of cost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Truck rental</w:t>
            </w:r>
          </w:p>
        </w:tc>
        <w:tc>
          <w:tcPr>
            <w:tcW w:type="dxa" w:w="4032"/>
          </w:tcPr>
          <w:p>
            <w:r>
              <w:rPr>
                <w:sz w:val="20"/>
              </w:rPr>
              <w:t>To transport soil to the experimental facility, we plan to rent a construction truck with a driver for Year 1 and Year 2, allocating $2,500 per year. This allocation considers the logistics of handling approximately 10 tons of soil material resulting from 30 experiments, each involving a 12 square feet area at 30 cm depth.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$646,000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 calculated at 55% MTDC</w:t>
            </w:r>
          </w:p>
        </w:tc>
        <w:tc>
          <w:tcPr>
            <w:tcW w:type="dxa" w:w="6120"/>
          </w:tcPr>
          <w:p>
            <w:r>
              <w:rPr>
                <w:sz w:val="20"/>
              </w:rPr>
              <w:t>Support of ME facilities where research will be conducted.</w:t>
            </w:r>
          </w:p>
        </w:tc>
        <w:tc>
          <w:tcPr>
            <w:tcW w:type="dxa" w:w="1080"/>
          </w:tcPr>
          <w:p>
            <w:r>
              <w:rPr>
                <w:sz w:val="20"/>
              </w:rPr>
              <w:t>Secured</w:t>
            </w:r>
          </w:p>
        </w:tc>
        <w:tc>
          <w:tcPr>
            <w:tcW w:type="dxa" w:w="1440"/>
          </w:tcPr>
          <w:p>
            <w:pPr>
              <w:jc w:val="right"/>
            </w:pPr>
            <w:r>
              <w:rPr>
                <w:sz w:val="20"/>
              </w:rPr>
              <w:t>$257,300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$257,300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$257,300</w:t>
            </w:r>
          </w:p>
        </w:tc>
      </w:tr>
    </w:tbl>
    <w:p/>
    <w:p>
      <w:r>
        <w:rPr>
          <w:b/>
        </w:rPr>
        <w:t>Total Project Cost: $903,300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667ce8f2-24b.pdf</w:t>
          </w:r>
        </w:hyperlink>
      </w:r>
    </w:p>
    <w:p>
      <w:pPr>
        <w:pStyle w:val="Heading4"/>
        <w:spacing w:before="40" w:after="20"/>
      </w:pPr>
      <w:r>
        <w:rPr>
          <w:b/>
          <w:i/>
          <w:color w:val="000000"/>
          <w:sz w:val="24"/>
        </w:rPr>
        <w:t>Alternate Text for Visual Component</w:t>
      </w:r>
    </w:p>
    <w:p>
      <w:r>
        <w:t>The visual representation illustrates the effects of duff burning on the forest ecosystem, including our proposed facility for duff burning, tools for measuring duff fires, methods for soil testing, and the potential impact of our study....</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SPA Letter of Support</w:t>
            </w:r>
          </w:p>
        </w:tc>
        <w:tc>
          <w:tcPr>
            <w:tcW w:type="dxa" w:w="5400"/>
          </w:tcPr>
          <w:p>
            <w:r>
              <w:rPr>
                <w:sz w:val="20"/>
              </w:rPr>
            </w:r>
            <w:r>
              <w:rPr>
                <w:color w:val="000000" w:themeColor="hyperlink"/>
                <w:sz w:val="20"/>
                <w:u w:val="single"/>
              </w:rPr>
              <w:hyperlink r:id="rId13">
                <w:r>
                  <w:rPr/>
                  <w:t>5637befb-94d.pdf</w:t>
                </w:r>
              </w:hyperlink>
            </w:r>
          </w:p>
        </w:tc>
      </w:tr>
      <w:tr>
        <w:tc>
          <w:tcPr>
            <w:tcW w:type="dxa" w:w="5400"/>
          </w:tcPr>
          <w:p>
            <w:r>
              <w:rPr>
                <w:sz w:val="20"/>
              </w:rPr>
              <w:t>Importance of duff burning</w:t>
            </w:r>
          </w:p>
        </w:tc>
        <w:tc>
          <w:tcPr>
            <w:tcW w:type="dxa" w:w="5400"/>
          </w:tcPr>
          <w:p>
            <w:r>
              <w:rPr>
                <w:sz w:val="20"/>
              </w:rPr>
            </w:r>
            <w:r>
              <w:rPr>
                <w:color w:val="000000" w:themeColor="hyperlink"/>
                <w:sz w:val="20"/>
                <w:u w:val="single"/>
              </w:rPr>
              <w:hyperlink r:id="rId14">
                <w:r>
                  <w:rPr/>
                  <w:t>cb6ed2f1-b4a.pdf</w:t>
                </w:r>
              </w:hyperlink>
            </w:r>
          </w:p>
        </w:tc>
      </w:tr>
      <w:tr>
        <w:tc>
          <w:tcPr>
            <w:tcW w:type="dxa" w:w="5400"/>
          </w:tcPr>
          <w:p>
            <w:r>
              <w:rPr>
                <w:sz w:val="20"/>
              </w:rPr>
              <w:t>article 1</w:t>
            </w:r>
          </w:p>
        </w:tc>
        <w:tc>
          <w:tcPr>
            <w:tcW w:type="dxa" w:w="5400"/>
          </w:tcPr>
          <w:p>
            <w:r>
              <w:rPr>
                <w:sz w:val="20"/>
              </w:rPr>
            </w:r>
            <w:r>
              <w:rPr>
                <w:color w:val="000000" w:themeColor="hyperlink"/>
                <w:sz w:val="20"/>
                <w:u w:val="single"/>
              </w:rPr>
              <w:hyperlink r:id="rId15">
                <w:r>
                  <w:rPr/>
                  <w:t>9751fe63-350.pdf</w:t>
                </w:r>
              </w:hyperlink>
            </w:r>
          </w:p>
        </w:tc>
      </w:tr>
      <w:tr>
        <w:tc>
          <w:tcPr>
            <w:tcW w:type="dxa" w:w="5400"/>
          </w:tcPr>
          <w:p>
            <w:r>
              <w:rPr>
                <w:sz w:val="20"/>
              </w:rPr>
              <w:t>article 2</w:t>
            </w:r>
          </w:p>
        </w:tc>
        <w:tc>
          <w:tcPr>
            <w:tcW w:type="dxa" w:w="5400"/>
          </w:tcPr>
          <w:p>
            <w:r>
              <w:rPr>
                <w:sz w:val="20"/>
              </w:rPr>
            </w:r>
            <w:r>
              <w:rPr>
                <w:color w:val="000000" w:themeColor="hyperlink"/>
                <w:sz w:val="20"/>
                <w:u w:val="single"/>
              </w:rPr>
              <w:hyperlink r:id="rId16">
                <w:r>
                  <w:rPr/>
                  <w:t>4d2fa92b-e12.pdf</w:t>
                </w:r>
              </w:hyperlink>
            </w:r>
          </w:p>
        </w:tc>
      </w:tr>
      <w:tr>
        <w:tc>
          <w:tcPr>
            <w:tcW w:type="dxa" w:w="5400"/>
          </w:tcPr>
          <w:p>
            <w:r>
              <w:rPr>
                <w:sz w:val="20"/>
              </w:rPr>
              <w:t>article 3</w:t>
            </w:r>
          </w:p>
        </w:tc>
        <w:tc>
          <w:tcPr>
            <w:tcW w:type="dxa" w:w="5400"/>
          </w:tcPr>
          <w:p>
            <w:r>
              <w:rPr>
                <w:sz w:val="20"/>
              </w:rPr>
            </w:r>
            <w:r>
              <w:rPr>
                <w:color w:val="000000" w:themeColor="hyperlink"/>
                <w:sz w:val="20"/>
                <w:u w:val="single"/>
              </w:rPr>
              <w:hyperlink r:id="rId17">
                <w:r>
                  <w:rPr/>
                  <w:t>1b188edd-150.pdf</w:t>
                </w:r>
              </w:hyperlink>
            </w:r>
          </w:p>
        </w:tc>
      </w:tr>
      <w:tr>
        <w:tc>
          <w:tcPr>
            <w:tcW w:type="dxa" w:w="5400"/>
          </w:tcPr>
          <w:p>
            <w:r>
              <w:rPr>
                <w:sz w:val="20"/>
              </w:rPr>
              <w:t>LCCMR 2025-219 Peer Review Research Addendum revised for new PI and timeline v5_Final</w:t>
            </w:r>
          </w:p>
        </w:tc>
        <w:tc>
          <w:tcPr>
            <w:tcW w:type="dxa" w:w="5400"/>
          </w:tcPr>
          <w:p>
            <w:r>
              <w:rPr>
                <w:sz w:val="20"/>
              </w:rPr>
            </w:r>
            <w:r>
              <w:rPr>
                <w:color w:val="000000" w:themeColor="hyperlink"/>
                <w:sz w:val="20"/>
                <w:u w:val="single"/>
              </w:rPr>
              <w:hyperlink r:id="rId18">
                <w:r>
                  <w:rPr/>
                  <w:t>7c39feb9-fb9.docx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Changed the budget to $646k (from original $700k)</w:t>
        <w:br/>
        <w:tab/>
        <w:t>- The project scope is unchanged</w:t>
        <w:br/>
        <w:tab/>
        <w:t>- Changed PI and Co-PI efforts</w:t>
        <w:br/>
        <w:tab/>
        <w:t>- Reduced travel and supplies</w:t>
        <w:br/>
        <w:t>Added dissemination plan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Alex Sullivan, U of MN; Dan Hegland, U of MN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667ce8f2-24b.pdf" TargetMode="External"/><Relationship Id="rId13" Type="http://schemas.openxmlformats.org/officeDocument/2006/relationships/hyperlink" Target="https://lccmrprojectmgmt.leg.mn/media/attachments/5637befb-94d.pdf" TargetMode="External"/><Relationship Id="rId14" Type="http://schemas.openxmlformats.org/officeDocument/2006/relationships/hyperlink" Target="https://lccmrprojectmgmt.leg.mn/media/attachments/cb6ed2f1-b4a.pdf" TargetMode="External"/><Relationship Id="rId15" Type="http://schemas.openxmlformats.org/officeDocument/2006/relationships/hyperlink" Target="https://lccmrprojectmgmt.leg.mn/media/attachments/9751fe63-350.pdf" TargetMode="External"/><Relationship Id="rId16" Type="http://schemas.openxmlformats.org/officeDocument/2006/relationships/hyperlink" Target="https://lccmrprojectmgmt.leg.mn/media/attachments/4d2fa92b-e12.pdf" TargetMode="External"/><Relationship Id="rId17" Type="http://schemas.openxmlformats.org/officeDocument/2006/relationships/hyperlink" Target="https://lccmrprojectmgmt.leg.mn/media/attachments/1b188edd-150.pdf" TargetMode="External"/><Relationship Id="rId18" Type="http://schemas.openxmlformats.org/officeDocument/2006/relationships/hyperlink" Target="https://lccmrprojectmgmt.leg.mn/media/attachments/7c39feb9-fb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Improving Minnesota Forest Health via Post-Duff-Burning Soil Analysis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