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2025-197</w:t>
      </w:r>
    </w:p>
    <w:p>
      <w:r>
        <w:rPr>
          <w:b/>
        </w:rPr>
        <w:t xml:space="preserve">Staff Lead: </w:t>
      </w:r>
      <w:r>
        <w:t>Tiffany Schaufler</w:t>
      </w:r>
    </w:p>
    <w:p>
      <w:r>
        <w:rPr>
          <w:b/>
        </w:rPr>
        <w:t xml:space="preserve">Date this document submitted to LCCMR: </w:t>
      </w:r>
      <w:r>
        <w:t>June 10, 2025</w:t>
      </w:r>
    </w:p>
    <w:p>
      <w:r>
        <w:rPr>
          <w:b/>
        </w:rPr>
        <w:t xml:space="preserve">Project Title: </w:t>
      </w:r>
      <w:r>
        <w:t>Scientific and Natural Area (SNA) Biodiversity Protection</w:t>
      </w:r>
    </w:p>
    <w:p>
      <w:r>
        <w:rPr>
          <w:b/>
        </w:rPr>
        <w:t xml:space="preserve">Project Budget: </w:t>
      </w:r>
      <w:r>
        <w:t>$1,104,000</w:t>
      </w:r>
    </w:p>
    <w:p/>
    <w:p>
      <w:pPr>
        <w:pStyle w:val="Heading2"/>
        <w:spacing w:before="0" w:after="80"/>
      </w:pPr>
      <w:r>
        <w:rPr>
          <w:b/>
          <w:color w:val="2C559C"/>
          <w:sz w:val="28"/>
        </w:rPr>
        <w:t>Project Manager Information</w:t>
      </w:r>
    </w:p>
    <w:p>
      <w:r>
        <w:rPr>
          <w:b/>
        </w:rPr>
        <w:t xml:space="preserve">Name: </w:t>
      </w:r>
      <w:r>
        <w:t>Judy Elbert</w:t>
      </w:r>
    </w:p>
    <w:p>
      <w:r>
        <w:rPr>
          <w:b/>
        </w:rPr>
        <w:t xml:space="preserve">Organization: </w:t>
      </w:r>
      <w:r>
        <w:t>MN DNR - Ecological and Water Resources Division</w:t>
      </w:r>
    </w:p>
    <w:p>
      <w:r>
        <w:rPr>
          <w:b/>
        </w:rPr>
        <w:t xml:space="preserve">Office Telephone: </w:t>
      </w:r>
      <w:r>
        <w:t>(651) 391-3168</w:t>
      </w:r>
    </w:p>
    <w:p>
      <w:r>
        <w:rPr>
          <w:b/>
        </w:rPr>
        <w:t xml:space="preserve">Email: </w:t>
      </w:r>
      <w:r>
        <w:t>judy.elbert@state.mn.us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Reporting Schedule: </w:t>
      </w:r>
      <w:r>
        <w:t>April 1</w:t>
      </w:r>
      <w:r>
        <w:t xml:space="preserve"> / </w:t>
      </w:r>
      <w:r>
        <w:t>October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09g</w:t>
      </w:r>
    </w:p>
    <w:p>
      <w:r>
        <w:rPr>
          <w:b/>
        </w:rPr>
        <w:t xml:space="preserve">Appropriation Language: </w:t>
      </w:r>
      <w:r>
        <w:t xml:space="preserve">$1,104,000 the first year is from the trust fund to the commissioner of natural resources for the scientific and natural area program to conserve Minnesota's most unique places and rare species and strategically acquire lands that meet criteria for SNAs under Minnesota Statutes, section 86A.05.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Scientific and Natural Area (SNA) strategic acquisition (~90 acres) will conserve Minnesota’s most unique places and rare species for everyone's benefit.</w:t>
      </w:r>
    </w:p>
    <w:p>
      <w:pPr>
        <w:spacing w:after="60"/>
      </w:pPr>
      <w:r>
        <w:rPr>
          <w:b/>
        </w:rPr>
        <w:t>Describe the opportunity or problem your proposal seeks to address. Include any relevant background information.</w:t>
      </w:r>
    </w:p>
    <w:p>
      <w:r>
        <w:t>Minnesota’s Scientific &amp; Natural Areas (SNAs) are established to protect and perpetuate natural features possessing exceptional scientific or educational value, in an undisturbed natural condition. SNA designation represents the highest form of ecological protection of public land in the state and as such, these are the sites that meet the highest standards of quality: ratings by the Minnesota Biological Survey (MBS) of high to outstanding biodiversity significance; key habitat for rare, threatened, and endangered species; and containing Minnesota’s flagship geologic features.</w:t>
        <w:br/>
        <w:t>Ensuring that this natural heritage is not lost, however, is an ongoing challenge: the SNA Program strives to ensure protection of at least a representative sample of five high-quality occurrences of every native plant community (NPC) in each of the state’s ecological subsections, as well as three viable populations of every animal and plant species native to Minnesota. These land-acquisition goals have not yet been attained, and more protection work is necessary. Moreover, we are seeing the continued acceleration of impacts to native ecosystems from development, agricultural conversion, fragmentation, invasive species, and climate change, while visitors arriving in record numbers also present management challenges on the landscape. Under these conditions, natural area protection and stewardship are increasingly urgent and necessary.</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Safeguarding Minnesota's natural heritage for future generations requires both the designation of currently unprotected high-priority lands, and the attentive stewardship of acres already under SNA protection. The SNA Program must continue to proactively seek out, acquire, and protect the “gaps” in the protected area system of high-quality natural lands. It must simultaneously increase the land management and stewardship capacity of its committed staff, partners, and volunteer base with every new acre protected. This stewardship work revitalizes the native plant communities and habitats protected on SNAs through scientifically-supported management tactics such as prescribed disturbance, invasive species treatment or removal, and other actions to reduce or reverse pressures that lead to environmental degradation. The SNA Program continues to meet these challenges with innovative solutions, partnering with the broader conservation community and enhancing Minnesotans’ awareness, appreciation, and support for protected public natural spaces.</w:t>
      </w:r>
    </w:p>
    <w:p>
      <w:pPr>
        <w:spacing w:after="60"/>
      </w:pPr>
      <w:r>
        <w:rPr>
          <w:b/>
        </w:rPr>
        <w:t xml:space="preserve">What are the specific project outcomes as they relate to the public purpose of protection, conservation, preservation, and enhancement of the state’s natural resources? </w:t>
      </w:r>
    </w:p>
    <w:p>
      <w:r>
        <w:t>This proposal aims to acquire and protect, from willing sellers, around 90 acres of at-risk native plant communities and wildlife habitat of state significance to designate as SNAs.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Strategic Acquisition of Sites with Biodiversity Significance</w:t>
      </w:r>
    </w:p>
    <w:p>
      <w:r>
        <w:rPr>
          <w:b/>
        </w:rPr>
        <w:t xml:space="preserve">Activity Budget: </w:t>
      </w:r>
      <w:r>
        <w:t>$1,104,000</w:t>
      </w:r>
    </w:p>
    <w:p>
      <w:r>
        <w:rPr>
          <w:b/>
        </w:rPr>
        <w:t xml:space="preserve">Activity Description: </w:t>
        <w:br/>
      </w:r>
      <w:r>
        <w:t>MN DNR will acquire ~90 acres of lands of high biodiversity significance, as mapped and recommended by the MBS. These lands will be acquired according to DNR procedures and designated as state SNAs to protect and buffer the state's rare features and most important at-risk native plant communities (NPCs) present. Proactive landowner contacts will target SNA Strategic Land Protection Plan (SLPP) priority areas, including those identified in the Minnesota Prairie Conservation Plan and State Wildlife Action Plan. Candidate sites must be recommended for SNA designation through an Ecological Evaluation report and rank-evaluated (quantitatively) with priority to sites identified by MBS as NPCs of outstanding or high biodiversity significance, with habitat for rare, endangered, and threatened species as well as Species in Greatest Conservation Need (SGCN). Most acquisition will be of fee-title, but if more appropriate, acquisition could be via SNA-administered conservation easement. Any new data from MBS and other scientific sources will be incorporated into periodic updates of the SLPP's gap analysis, along with climate change risk/resilience assessment factors, to refine strategic prioritization of SNA acquisition work.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Acquisition and designation as SNA of ~90 acres of high-quality habitat &amp; native plant communities</w:t>
            </w:r>
          </w:p>
        </w:tc>
        <w:tc>
          <w:tcPr>
            <w:tcW w:type="dxa" w:w="2160"/>
          </w:tcPr>
          <w:p>
            <w:pPr>
              <w:jc w:val="right"/>
            </w:pPr>
            <w:r>
              <w:rPr>
                <w:sz w:val="20"/>
              </w:rPr>
              <w:t>June 30, 2029</w:t>
            </w:r>
          </w:p>
        </w:tc>
      </w:tr>
      <w:tr>
        <w:tc>
          <w:tcPr>
            <w:tcW w:type="dxa" w:w="8640"/>
          </w:tcPr>
          <w:p>
            <w:r>
              <w:rPr>
                <w:sz w:val="20"/>
              </w:rPr>
              <w:t>Proactive landowner contacts (~5) in strategic priority areas</w:t>
            </w:r>
          </w:p>
        </w:tc>
        <w:tc>
          <w:tcPr>
            <w:tcW w:type="dxa" w:w="2160"/>
          </w:tcPr>
          <w:p>
            <w:pPr>
              <w:jc w:val="right"/>
            </w:pPr>
            <w:r>
              <w:rPr>
                <w:sz w:val="20"/>
              </w:rPr>
              <w:t>June 30, 2029</w:t>
            </w:r>
          </w:p>
        </w:tc>
      </w:tr>
      <w:tr>
        <w:tc>
          <w:tcPr>
            <w:tcW w:type="dxa" w:w="8640"/>
          </w:tcPr>
          <w:p>
            <w:r>
              <w:rPr>
                <w:sz w:val="20"/>
              </w:rPr>
              <w:t>Site development (posting, parking, etc.) of acquired parcels including durable signage acknowledging ENRTF and logo.</w:t>
            </w:r>
          </w:p>
        </w:tc>
        <w:tc>
          <w:tcPr>
            <w:tcW w:type="dxa" w:w="2160"/>
          </w:tcPr>
          <w:p>
            <w:pPr>
              <w:jc w:val="right"/>
            </w:pPr>
            <w:r>
              <w:rPr>
                <w:sz w:val="20"/>
              </w:rPr>
              <w:t>June 30, 2029</w:t>
            </w:r>
          </w:p>
        </w:tc>
      </w:tr>
      <w:tr>
        <w:tc>
          <w:tcPr>
            <w:tcW w:type="dxa" w:w="8640"/>
          </w:tcPr>
          <w:p>
            <w:r>
              <w:rPr>
                <w:sz w:val="20"/>
              </w:rPr>
              <w:t>Submit financial information for LCCMR review 10 days before closing</w:t>
            </w:r>
          </w:p>
        </w:tc>
        <w:tc>
          <w:tcPr>
            <w:tcW w:type="dxa" w:w="2160"/>
          </w:tcPr>
          <w:p>
            <w:pPr>
              <w:jc w:val="right"/>
            </w:pPr>
            <w:r>
              <w:rPr>
                <w:sz w:val="20"/>
              </w:rPr>
              <w:t>June 30, 2029</w:t>
            </w:r>
          </w:p>
        </w:tc>
      </w:tr>
      <w:tr>
        <w:tc>
          <w:tcPr>
            <w:tcW w:type="dxa" w:w="8640"/>
          </w:tcPr>
          <w:p>
            <w:r>
              <w:rPr>
                <w:sz w:val="20"/>
              </w:rPr>
              <w:t>Record Notice of Funding Restriction (NOFR)</w:t>
            </w:r>
          </w:p>
        </w:tc>
        <w:tc>
          <w:tcPr>
            <w:tcW w:type="dxa" w:w="2160"/>
          </w:tcPr>
          <w:p>
            <w:pPr>
              <w:jc w:val="right"/>
            </w:pPr>
            <w:r>
              <w:rPr>
                <w:sz w:val="20"/>
              </w:rPr>
              <w:t>June 30, 2029</w:t>
            </w:r>
          </w:p>
        </w:tc>
      </w:tr>
      <w:tr>
        <w:tc>
          <w:tcPr>
            <w:tcW w:type="dxa" w:w="8640"/>
          </w:tcPr>
          <w:p>
            <w:r>
              <w:rPr>
                <w:sz w:val="20"/>
              </w:rPr>
              <w:t>Submit transaction cost reporting within 60 days following acquisition.</w:t>
            </w:r>
          </w:p>
        </w:tc>
        <w:tc>
          <w:tcPr>
            <w:tcW w:type="dxa" w:w="2160"/>
          </w:tcPr>
          <w:p>
            <w:pPr>
              <w:jc w:val="right"/>
            </w:pPr>
            <w:r>
              <w:rPr>
                <w:sz w:val="20"/>
              </w:rPr>
              <w:t>June 30, 2029</w:t>
            </w:r>
          </w:p>
        </w:tc>
      </w:tr>
      <w:tr>
        <w:tc>
          <w:tcPr>
            <w:tcW w:type="dxa" w:w="8640"/>
          </w:tcPr>
          <w:p>
            <w:r>
              <w:rPr>
                <w:sz w:val="20"/>
              </w:rPr>
              <w:t>Submit initial land acquisition report upon acquisition</w:t>
            </w:r>
          </w:p>
        </w:tc>
        <w:tc>
          <w:tcPr>
            <w:tcW w:type="dxa" w:w="2160"/>
          </w:tcPr>
          <w:p>
            <w:pPr>
              <w:jc w:val="right"/>
            </w:pPr>
            <w:r>
              <w:rPr>
                <w:sz w:val="20"/>
              </w:rPr>
              <w:t>June 30, 2029</w:t>
            </w:r>
          </w:p>
        </w:tc>
      </w:tr>
      <w:tr>
        <w:tc>
          <w:tcPr>
            <w:tcW w:type="dxa" w:w="8640"/>
          </w:tcPr>
          <w:p>
            <w:r>
              <w:rPr>
                <w:sz w:val="20"/>
              </w:rPr>
              <w:t>Submit annual land acquisition report by Dec. 1 every subsequent year.</w:t>
            </w:r>
          </w:p>
        </w:tc>
        <w:tc>
          <w:tcPr>
            <w:tcW w:type="dxa" w:w="2160"/>
          </w:tcPr>
          <w:p>
            <w:pPr>
              <w:jc w:val="right"/>
            </w:pPr>
            <w:r>
              <w:rPr>
                <w:sz w:val="20"/>
              </w:rPr>
              <w:t>June 30, 2029</w:t>
            </w:r>
          </w:p>
        </w:tc>
      </w:tr>
      <w:tr>
        <w:tc>
          <w:tcPr>
            <w:tcW w:type="dxa" w:w="8640"/>
          </w:tcPr>
          <w:p>
            <w:r>
              <w:rPr>
                <w:sz w:val="20"/>
              </w:rPr>
              <w:t>Send LCCMR photos showing installed ENRTF acknowledgment signage</w:t>
            </w:r>
          </w:p>
        </w:tc>
        <w:tc>
          <w:tcPr>
            <w:tcW w:type="dxa" w:w="2160"/>
          </w:tcPr>
          <w:p>
            <w:pPr>
              <w:jc w:val="right"/>
            </w:pPr>
            <w:r>
              <w:rPr>
                <w:sz w:val="20"/>
              </w:rPr>
              <w:t>June 30, 2029</w:t>
            </w:r>
          </w:p>
        </w:tc>
      </w:tr>
      <w:tr>
        <w:tc>
          <w:tcPr>
            <w:tcW w:type="dxa" w:w="8640"/>
          </w:tcPr>
          <w:p>
            <w:r>
              <w:rPr>
                <w:sz w:val="20"/>
              </w:rPr>
              <w:t>If applicable, site open to the public (SNA designation must be completed 6/30/31).</w:t>
            </w:r>
          </w:p>
        </w:tc>
        <w:tc>
          <w:tcPr>
            <w:tcW w:type="dxa" w:w="2160"/>
          </w:tcPr>
          <w:p>
            <w:pPr>
              <w:jc w:val="right"/>
            </w:pPr>
            <w:r>
              <w:rPr>
                <w:sz w:val="20"/>
              </w:rPr>
              <w:t>June 30, 2029</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of project achievement announcements will primarily be achieved through the SNA webpage on the DNR website (mndnr.gov/snas), through SNA social media outlets (e.g. the SNA Facebook page or the DNR Instagram channel), and through Nature Notes – the SNA Program e-newsletter distributed through GovDelivery.com to subscribers and possibly through Tweets on the DNR Twitter site. Specifically, the DNR website will be updated with information on new or expanded SNAs. Announcements of the acquisitions will be posted on the SNA/DNR Facebook page.</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 Signage on acquired sites will be durable, fixed, and displayed in a prominent location.</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Acquiring lands that harbor plant communities not yet protected is central to the state's long-term strategy for averting biodiversity loss in Minnesota. There are around 192,500 acres in the MN DNR's system of ~170 SNAs, which must be managed and protected in perpetuity by the agency, including new lands acquired under this proposal. The support of the people of Minnesota, and of key funding like ENRTF of $2-5M per annum, among others, are critical to long-term success and sustainability. All restoration, enhancement, and site development results are tracked in DNR databases including the Adaptive Management Spatial Database (AMSD).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Scientific and Natural Areas Program</w:t>
            </w:r>
          </w:p>
        </w:tc>
        <w:tc>
          <w:tcPr>
            <w:tcW w:type="dxa" w:w="4680"/>
          </w:tcPr>
          <w:p>
            <w:r>
              <w:rPr>
                <w:sz w:val="20"/>
              </w:rPr>
              <w:t>M.L. 2018, Chp. 214, Art. 4, Sec. 2, Subd. 09l</w:t>
            </w:r>
          </w:p>
        </w:tc>
        <w:tc>
          <w:tcPr>
            <w:tcW w:type="dxa" w:w="1440"/>
          </w:tcPr>
          <w:p>
            <w:pPr>
              <w:jc w:val="right"/>
            </w:pPr>
            <w:r>
              <w:rPr>
                <w:sz w:val="20"/>
              </w:rPr>
              <w:t>$3,250,000</w:t>
            </w:r>
          </w:p>
        </w:tc>
      </w:tr>
      <w:tr>
        <w:tc>
          <w:tcPr>
            <w:tcW w:type="dxa" w:w="4680"/>
          </w:tcPr>
          <w:p>
            <w:r>
              <w:rPr>
                <w:sz w:val="20"/>
              </w:rPr>
              <w:t>Minnesota Scientific and Natural Areas</w:t>
            </w:r>
          </w:p>
        </w:tc>
        <w:tc>
          <w:tcPr>
            <w:tcW w:type="dxa" w:w="4680"/>
          </w:tcPr>
          <w:p>
            <w:r>
              <w:rPr>
                <w:sz w:val="20"/>
              </w:rPr>
              <w:t>M.L. 2019, First Special Session, Chp. 4, Art. 2, Sec. 2, Subd. 09a</w:t>
            </w:r>
          </w:p>
        </w:tc>
        <w:tc>
          <w:tcPr>
            <w:tcW w:type="dxa" w:w="1440"/>
          </w:tcPr>
          <w:p>
            <w:pPr>
              <w:jc w:val="right"/>
            </w:pPr>
            <w:r>
              <w:rPr>
                <w:sz w:val="20"/>
              </w:rPr>
              <w:t>$3,500,000</w:t>
            </w:r>
          </w:p>
        </w:tc>
      </w:tr>
      <w:tr>
        <w:tc>
          <w:tcPr>
            <w:tcW w:type="dxa" w:w="4680"/>
          </w:tcPr>
          <w:p>
            <w:r>
              <w:rPr>
                <w:sz w:val="20"/>
              </w:rPr>
              <w:t>DNR Scientific and Natural Areas</w:t>
            </w:r>
          </w:p>
        </w:tc>
        <w:tc>
          <w:tcPr>
            <w:tcW w:type="dxa" w:w="4680"/>
          </w:tcPr>
          <w:p>
            <w:r>
              <w:rPr>
                <w:sz w:val="20"/>
              </w:rPr>
              <w:t>M.L. 2021, First Special Session, Chp. 6, Art. 5, Sec. 2, Subd. 09a</w:t>
            </w:r>
          </w:p>
        </w:tc>
        <w:tc>
          <w:tcPr>
            <w:tcW w:type="dxa" w:w="1440"/>
          </w:tcPr>
          <w:p>
            <w:pPr>
              <w:jc w:val="right"/>
            </w:pPr>
            <w:r>
              <w:rPr>
                <w:sz w:val="20"/>
              </w:rPr>
              <w:t>$3,000,000</w:t>
            </w:r>
          </w:p>
        </w:tc>
      </w:tr>
      <w:tr>
        <w:tc>
          <w:tcPr>
            <w:tcW w:type="dxa" w:w="4680"/>
          </w:tcPr>
          <w:p>
            <w:r>
              <w:rPr>
                <w:sz w:val="20"/>
              </w:rPr>
              <w:t>SNA Acquisition, Restoration, Citizen-Science and Outreach</w:t>
            </w:r>
          </w:p>
        </w:tc>
        <w:tc>
          <w:tcPr>
            <w:tcW w:type="dxa" w:w="4680"/>
          </w:tcPr>
          <w:p>
            <w:r>
              <w:rPr>
                <w:sz w:val="20"/>
              </w:rPr>
              <w:t>M.L. 2021, First Special Session, Chp. 6, Art. 6, Sec. 2, Subd. 09j</w:t>
            </w:r>
          </w:p>
        </w:tc>
        <w:tc>
          <w:tcPr>
            <w:tcW w:type="dxa" w:w="1440"/>
          </w:tcPr>
          <w:p>
            <w:pPr>
              <w:jc w:val="right"/>
            </w:pPr>
            <w:r>
              <w:rPr>
                <w:sz w:val="20"/>
              </w:rPr>
              <w:t>$3,336,000</w:t>
            </w:r>
          </w:p>
        </w:tc>
      </w:tr>
      <w:tr>
        <w:tc>
          <w:tcPr>
            <w:tcW w:type="dxa" w:w="4680"/>
          </w:tcPr>
          <w:p>
            <w:r>
              <w:rPr>
                <w:sz w:val="20"/>
              </w:rPr>
              <w:t>SNA Habitat Restoration and Public Engagement</w:t>
            </w:r>
          </w:p>
        </w:tc>
        <w:tc>
          <w:tcPr>
            <w:tcW w:type="dxa" w:w="4680"/>
          </w:tcPr>
          <w:p>
            <w:r>
              <w:rPr>
                <w:sz w:val="20"/>
              </w:rPr>
              <w:t>M.L. 2022, , Chp. 94, Art. , Sec. 2, Subd. 09h</w:t>
            </w:r>
          </w:p>
        </w:tc>
        <w:tc>
          <w:tcPr>
            <w:tcW w:type="dxa" w:w="1440"/>
          </w:tcPr>
          <w:p>
            <w:pPr>
              <w:jc w:val="right"/>
            </w:pPr>
            <w:r>
              <w:rPr>
                <w:sz w:val="20"/>
              </w:rPr>
              <w:t>$5,000,000</w:t>
            </w:r>
          </w:p>
        </w:tc>
      </w:tr>
      <w:tr>
        <w:tc>
          <w:tcPr>
            <w:tcW w:type="dxa" w:w="4680"/>
          </w:tcPr>
          <w:p>
            <w:r>
              <w:rPr>
                <w:sz w:val="20"/>
              </w:rPr>
              <w:t>SNA Stewardship, Outreach, and Biodiversity Protection</w:t>
            </w:r>
          </w:p>
        </w:tc>
        <w:tc>
          <w:tcPr>
            <w:tcW w:type="dxa" w:w="4680"/>
          </w:tcPr>
          <w:p>
            <w:r>
              <w:rPr>
                <w:sz w:val="20"/>
              </w:rPr>
              <w:t>M.L. 2023, , Chp. 60, Art. 2, Sec. 2, Subd. 09a</w:t>
            </w:r>
          </w:p>
        </w:tc>
        <w:tc>
          <w:tcPr>
            <w:tcW w:type="dxa" w:w="1440"/>
          </w:tcPr>
          <w:p>
            <w:pPr>
              <w:jc w:val="right"/>
            </w:pPr>
            <w:r>
              <w:rPr>
                <w:sz w:val="20"/>
              </w:rPr>
              <w:t>$1,919,000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Laborers, Seasonals &amp; crews</w:t>
            </w:r>
          </w:p>
        </w:tc>
        <w:tc>
          <w:tcPr>
            <w:tcW w:type="dxa" w:w="1440"/>
          </w:tcPr>
          <w:p>
            <w:r>
              <w:rPr>
                <w:sz w:val="20"/>
              </w:rPr>
            </w:r>
          </w:p>
        </w:tc>
        <w:tc>
          <w:tcPr>
            <w:tcW w:type="dxa" w:w="5472"/>
          </w:tcPr>
          <w:p>
            <w:r>
              <w:rPr>
                <w:sz w:val="20"/>
              </w:rPr>
              <w:t>On-the-ground site development</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0.16</w:t>
            </w:r>
          </w:p>
        </w:tc>
        <w:tc>
          <w:tcPr>
            <w:tcW w:type="dxa" w:w="360"/>
          </w:tcPr>
          <w:p>
            <w:pPr>
              <w:jc w:val="center"/>
            </w:pPr>
            <w:r>
              <w:rPr>
                <w:sz w:val="20"/>
              </w:rPr>
              <w:t>X</w:t>
            </w:r>
          </w:p>
        </w:tc>
        <w:tc>
          <w:tcPr>
            <w:tcW w:type="dxa" w:w="1152"/>
          </w:tcPr>
          <w:p>
            <w:pPr>
              <w:jc w:val="right"/>
            </w:pPr>
            <w:r>
              <w:rPr>
                <w:sz w:val="20"/>
              </w:rPr>
              <w:t>$2,000</w:t>
            </w:r>
          </w:p>
        </w:tc>
      </w:tr>
      <w:tr>
        <w:tc>
          <w:tcPr>
            <w:tcW w:type="dxa" w:w="864"/>
          </w:tcPr>
          <w:p>
            <w:r>
              <w:rPr>
                <w:sz w:val="20"/>
              </w:rPr>
              <w:t>Specialists &amp; Technicians</w:t>
            </w:r>
          </w:p>
        </w:tc>
        <w:tc>
          <w:tcPr>
            <w:tcW w:type="dxa" w:w="1440"/>
          </w:tcPr>
          <w:p>
            <w:r>
              <w:rPr>
                <w:sz w:val="20"/>
              </w:rPr>
            </w:r>
          </w:p>
        </w:tc>
        <w:tc>
          <w:tcPr>
            <w:tcW w:type="dxa" w:w="5472"/>
          </w:tcPr>
          <w:p>
            <w:r>
              <w:rPr>
                <w:sz w:val="20"/>
              </w:rPr>
              <w:t>Protection Lead Generation and Implementation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0.48</w:t>
            </w:r>
          </w:p>
        </w:tc>
        <w:tc>
          <w:tcPr>
            <w:tcW w:type="dxa" w:w="360"/>
          </w:tcPr>
          <w:p>
            <w:pPr>
              <w:jc w:val="center"/>
            </w:pPr>
            <w:r>
              <w:rPr>
                <w:sz w:val="20"/>
              </w:rPr>
              <w:t>X</w:t>
            </w:r>
          </w:p>
        </w:tc>
        <w:tc>
          <w:tcPr>
            <w:tcW w:type="dxa" w:w="1152"/>
          </w:tcPr>
          <w:p>
            <w:pPr>
              <w:jc w:val="right"/>
            </w:pPr>
            <w:r>
              <w:rPr>
                <w:sz w:val="20"/>
              </w:rPr>
              <w:t>$25,000</w:t>
            </w:r>
          </w:p>
        </w:tc>
      </w:tr>
      <w:tr>
        <w:tc>
          <w:tcPr>
            <w:tcW w:type="dxa" w:w="864"/>
          </w:tcPr>
          <w:p>
            <w:r>
              <w:rPr>
                <w:sz w:val="20"/>
              </w:rPr>
              <w:t>Coordinators &amp; planner</w:t>
            </w:r>
          </w:p>
        </w:tc>
        <w:tc>
          <w:tcPr>
            <w:tcW w:type="dxa" w:w="1440"/>
          </w:tcPr>
          <w:p>
            <w:r>
              <w:rPr>
                <w:sz w:val="20"/>
              </w:rPr>
            </w:r>
          </w:p>
        </w:tc>
        <w:tc>
          <w:tcPr>
            <w:tcW w:type="dxa" w:w="5472"/>
          </w:tcPr>
          <w:p>
            <w:r>
              <w:rPr>
                <w:sz w:val="20"/>
              </w:rPr>
              <w:t>Coordinate acquisition, protection implementation, partner coordination, SNA Strategic Land Protection Plan (SLPP) updates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0.28</w:t>
            </w:r>
          </w:p>
        </w:tc>
        <w:tc>
          <w:tcPr>
            <w:tcW w:type="dxa" w:w="360"/>
          </w:tcPr>
          <w:p>
            <w:pPr>
              <w:jc w:val="center"/>
            </w:pPr>
            <w:r>
              <w:rPr>
                <w:sz w:val="20"/>
              </w:rPr>
              <w:t>X</w:t>
            </w:r>
          </w:p>
        </w:tc>
        <w:tc>
          <w:tcPr>
            <w:tcW w:type="dxa" w:w="1152"/>
          </w:tcPr>
          <w:p>
            <w:pPr>
              <w:jc w:val="right"/>
            </w:pPr>
            <w:r>
              <w:rPr>
                <w:sz w:val="20"/>
              </w:rPr>
              <w:t>$23,000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State of Minnesota</w:t>
            </w:r>
          </w:p>
        </w:tc>
        <w:tc>
          <w:tcPr>
            <w:tcW w:type="dxa" w:w="1440"/>
          </w:tcPr>
          <w:p>
            <w:r>
              <w:rPr>
                <w:sz w:val="20"/>
              </w:rPr>
              <w:t>Acquisition services</w:t>
            </w:r>
          </w:p>
        </w:tc>
        <w:tc>
          <w:tcPr>
            <w:tcW w:type="dxa" w:w="5472"/>
          </w:tcPr>
          <w:p>
            <w:r>
              <w:rPr>
                <w:sz w:val="20"/>
              </w:rPr>
              <w:t>Professional Services for Acquisition: DNR Lands and Minerals (and if necessary, Attorney General's Office) costs associated with completing an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0.32</w:t>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Materials &amp; Supplies</w:t>
            </w:r>
          </w:p>
        </w:tc>
        <w:tc>
          <w:tcPr>
            <w:tcW w:type="dxa" w:w="4032"/>
          </w:tcPr>
          <w:p>
            <w:r>
              <w:rPr>
                <w:sz w:val="20"/>
              </w:rPr>
              <w:t>Site Development: signs (entry, boundary, &amp; rules signs), posts/hardware, fencing, gravel,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90  Parcels: 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$960,000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fleet charges (for operation of trucks, cars, &amp; special fieldwork equipment) &amp; in-state travel costs (as per state contracts)</w:t>
            </w:r>
          </w:p>
        </w:tc>
        <w:tc>
          <w:tcPr>
            <w:tcW w:type="dxa" w:w="4032"/>
          </w:tcPr>
          <w:p>
            <w:r>
              <w:rPr>
                <w:sz w:val="20"/>
              </w:rPr>
              <w:t>Travel expenses needed to complete direct project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State Register publication (required to designate acquired parcels)</w:t>
            </w:r>
          </w:p>
        </w:tc>
        <w:tc>
          <w:tcPr>
            <w:tcW w:type="dxa" w:w="4032"/>
          </w:tcPr>
          <w:p>
            <w:r>
              <w:rPr>
                <w:sz w:val="20"/>
              </w:rPr>
              <w:t>To achieve improved public awareness and transparently disclose additions of new SNA parcels.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$1,005</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w:t>
            </w:r>
          </w:p>
        </w:tc>
        <w:tc>
          <w:tcPr>
            <w:tcW w:type="dxa" w:w="4032"/>
          </w:tcPr>
          <w:p>
            <w:r>
              <w:rPr>
                <w:sz w:val="20"/>
              </w:rPr>
              <w:t>Pay for activities that are directly related to and necessary for accomplishing appropriated projects. Direct and necessary costs cover HR (~$2,023), Safety (~$284), Financial (~$561), Communication (~$1,528), IT (~$5,462), and Planning Support (~$1,137).</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$10,995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$10,995</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$1,104,000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Laborers, Seasonals &amp; crews</w:t>
            </w:r>
          </w:p>
        </w:tc>
        <w:tc>
          <w:tcPr>
            <w:tcW w:type="dxa" w:w="1800"/>
          </w:tcPr>
          <w:p>
            <w:r>
              <w:rPr>
                <w:sz w:val="20"/>
              </w:rPr>
            </w:r>
          </w:p>
        </w:tc>
        <w:tc>
          <w:tcPr>
            <w:tcW w:type="dxa" w:w="3240"/>
          </w:tcPr>
          <w:p>
            <w:r>
              <w:rPr>
                <w:sz w:val="20"/>
              </w:rPr>
              <w:t>On-the-ground site development</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Specialists &amp; Technicians</w:t>
            </w:r>
          </w:p>
        </w:tc>
        <w:tc>
          <w:tcPr>
            <w:tcW w:type="dxa" w:w="1800"/>
          </w:tcPr>
          <w:p>
            <w:r>
              <w:rPr>
                <w:sz w:val="20"/>
              </w:rPr>
            </w:r>
          </w:p>
        </w:tc>
        <w:tc>
          <w:tcPr>
            <w:tcW w:type="dxa" w:w="3240"/>
          </w:tcPr>
          <w:p>
            <w:r>
              <w:rPr>
                <w:sz w:val="20"/>
              </w:rPr>
              <w:t>Protection Lead Generation and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Coordinators &amp; planner</w:t>
            </w:r>
          </w:p>
        </w:tc>
        <w:tc>
          <w:tcPr>
            <w:tcW w:type="dxa" w:w="1800"/>
          </w:tcPr>
          <w:p>
            <w:r>
              <w:rPr>
                <w:sz w:val="20"/>
              </w:rPr>
            </w:r>
          </w:p>
        </w:tc>
        <w:tc>
          <w:tcPr>
            <w:tcW w:type="dxa" w:w="3240"/>
          </w:tcPr>
          <w:p>
            <w:r>
              <w:rPr>
                <w:sz w:val="20"/>
              </w:rPr>
              <w:t>Coordinate acquisition, protection implementation, partner coordination, SNA Strategic Land Protection Plan (SLPP) updates</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$1,104,000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Franconia Bluffs SNA addition</w:t>
            </w:r>
          </w:p>
        </w:tc>
        <w:tc>
          <w:tcPr>
            <w:tcW w:type="dxa" w:w="1440"/>
          </w:tcPr>
          <w:p>
            <w:r>
              <w:rPr>
                <w:sz w:val="20"/>
              </w:rPr>
              <w:t>Chisago</w:t>
            </w:r>
          </w:p>
        </w:tc>
        <w:tc>
          <w:tcPr>
            <w:tcW w:type="dxa" w:w="3888"/>
          </w:tcPr>
          <w:p>
            <w:r>
              <w:rPr>
                <w:sz w:val="20"/>
              </w:rPr>
              <w:t>•</w:t>
              <w:tab/>
              <w:t>Partially wooded with moderate to high-quality hardwood forest interspersed with pasture and conifer plantings that links two units of the existing Franconia Bluffs SNA in the St. Croix Valley.</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$260,000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Green Lake SNA (NEW)</w:t>
            </w:r>
          </w:p>
        </w:tc>
        <w:tc>
          <w:tcPr>
            <w:tcW w:type="dxa" w:w="1440"/>
          </w:tcPr>
          <w:p>
            <w:r>
              <w:rPr>
                <w:sz w:val="20"/>
              </w:rPr>
              <w:t>Isanti</w:t>
            </w:r>
          </w:p>
        </w:tc>
        <w:tc>
          <w:tcPr>
            <w:tcW w:type="dxa" w:w="3888"/>
          </w:tcPr>
          <w:p>
            <w:r>
              <w:rPr>
                <w:sz w:val="20"/>
              </w:rPr>
              <w:t>Moderate to high-quality hardwood forest, wetlands and potential fen.</w:t>
            </w:r>
          </w:p>
        </w:tc>
        <w:tc>
          <w:tcPr>
            <w:tcW w:type="dxa" w:w="1080"/>
          </w:tcPr>
          <w:p>
            <w:r>
              <w:rPr>
                <w:sz w:val="20"/>
              </w:rPr>
              <w:t>Fee Title</w:t>
            </w:r>
          </w:p>
        </w:tc>
        <w:tc>
          <w:tcPr>
            <w:tcW w:type="dxa" w:w="432"/>
          </w:tcPr>
          <w:p>
            <w:pPr>
              <w:jc w:val="right"/>
            </w:pPr>
            <w:r>
              <w:rPr>
                <w:sz w:val="20"/>
              </w:rPr>
              <w:t>184</w:t>
            </w:r>
          </w:p>
        </w:tc>
        <w:tc>
          <w:tcPr>
            <w:tcW w:type="dxa" w:w="432"/>
          </w:tcPr>
          <w:p>
            <w:pPr>
              <w:jc w:val="right"/>
            </w:pPr>
            <w:r>
              <w:rPr>
                <w:sz w:val="20"/>
              </w:rPr>
              <w:t>-</w:t>
            </w:r>
          </w:p>
        </w:tc>
        <w:tc>
          <w:tcPr>
            <w:tcW w:type="dxa" w:w="1080"/>
          </w:tcPr>
          <w:p>
            <w:pPr>
              <w:jc w:val="right"/>
            </w:pPr>
            <w:r>
              <w:rPr>
                <w:sz w:val="20"/>
              </w:rPr>
              <w:t>$700,000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Hasting Sand Coulee SNA addition</w:t>
            </w:r>
          </w:p>
        </w:tc>
        <w:tc>
          <w:tcPr>
            <w:tcW w:type="dxa" w:w="1440"/>
          </w:tcPr>
          <w:p>
            <w:r>
              <w:rPr>
                <w:sz w:val="20"/>
              </w:rPr>
              <w:t>Dakota</w:t>
            </w:r>
          </w:p>
        </w:tc>
        <w:tc>
          <w:tcPr>
            <w:tcW w:type="dxa" w:w="3888"/>
          </w:tcPr>
          <w:p>
            <w:r>
              <w:rPr>
                <w:sz w:val="20"/>
              </w:rPr>
              <w:t>Moderate to high-quality prairie adjacent to existing prairie SNA.  The site includes an oak forest slope buffer adjacent to future residential development.</w:t>
            </w:r>
          </w:p>
        </w:tc>
        <w:tc>
          <w:tcPr>
            <w:tcW w:type="dxa" w:w="1080"/>
          </w:tcPr>
          <w:p>
            <w:r>
              <w:rPr>
                <w:sz w:val="20"/>
              </w:rPr>
              <w:t>Fee Title</w:t>
            </w:r>
          </w:p>
        </w:tc>
        <w:tc>
          <w:tcPr>
            <w:tcW w:type="dxa" w:w="432"/>
          </w:tcPr>
          <w:p>
            <w:pPr>
              <w:jc w:val="right"/>
            </w:pPr>
            <w:r>
              <w:rPr>
                <w:sz w:val="20"/>
              </w:rPr>
              <w:t>17</w:t>
            </w:r>
          </w:p>
        </w:tc>
        <w:tc>
          <w:tcPr>
            <w:tcW w:type="dxa" w:w="432"/>
          </w:tcPr>
          <w:p>
            <w:pPr>
              <w:jc w:val="right"/>
            </w:pPr>
            <w:r>
              <w:rPr>
                <w:sz w:val="20"/>
              </w:rPr>
              <w:t>-</w:t>
            </w:r>
          </w:p>
        </w:tc>
        <w:tc>
          <w:tcPr>
            <w:tcW w:type="dxa" w:w="1080"/>
          </w:tcPr>
          <w:p>
            <w:pPr>
              <w:jc w:val="right"/>
            </w:pPr>
            <w:r>
              <w:rPr>
                <w:sz w:val="20"/>
              </w:rPr>
              <w:t>$210,000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Little Mantrap Lake SNA addition</w:t>
            </w:r>
          </w:p>
        </w:tc>
        <w:tc>
          <w:tcPr>
            <w:tcW w:type="dxa" w:w="1440"/>
          </w:tcPr>
          <w:p>
            <w:r>
              <w:rPr>
                <w:sz w:val="20"/>
              </w:rPr>
              <w:t>Becker</w:t>
            </w:r>
          </w:p>
        </w:tc>
        <w:tc>
          <w:tcPr>
            <w:tcW w:type="dxa" w:w="3888"/>
          </w:tcPr>
          <w:p>
            <w:r>
              <w:rPr>
                <w:sz w:val="20"/>
              </w:rPr>
              <w:t>High biodiversity significance sugar maple-basswood (aspen) forest, northern rich fen, black ash-mountain maple swamp, extremely rich tamarack swamp, alder-maple-loosestrife swamp, and aspen-(sugar maple-basswood) forest.</w:t>
            </w:r>
          </w:p>
        </w:tc>
        <w:tc>
          <w:tcPr>
            <w:tcW w:type="dxa" w:w="1080"/>
          </w:tcPr>
          <w:p>
            <w:r>
              <w:rPr>
                <w:sz w:val="20"/>
              </w:rPr>
              <w:t>Fee Title</w:t>
            </w:r>
          </w:p>
        </w:tc>
        <w:tc>
          <w:tcPr>
            <w:tcW w:type="dxa" w:w="432"/>
          </w:tcPr>
          <w:p>
            <w:pPr>
              <w:jc w:val="right"/>
            </w:pPr>
            <w:r>
              <w:rPr>
                <w:sz w:val="20"/>
              </w:rPr>
              <w:t>200</w:t>
            </w:r>
          </w:p>
        </w:tc>
        <w:tc>
          <w:tcPr>
            <w:tcW w:type="dxa" w:w="432"/>
          </w:tcPr>
          <w:p>
            <w:pPr>
              <w:jc w:val="right"/>
            </w:pPr>
            <w:r>
              <w:rPr>
                <w:sz w:val="20"/>
              </w:rPr>
              <w:t>-</w:t>
            </w:r>
          </w:p>
        </w:tc>
        <w:tc>
          <w:tcPr>
            <w:tcW w:type="dxa" w:w="1080"/>
          </w:tcPr>
          <w:p>
            <w:pPr>
              <w:jc w:val="right"/>
            </w:pPr>
            <w:r>
              <w:rPr>
                <w:sz w:val="20"/>
              </w:rPr>
              <w:t>$450,000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McKinley Barrens SNA (NEW)</w:t>
            </w:r>
          </w:p>
        </w:tc>
        <w:tc>
          <w:tcPr>
            <w:tcW w:type="dxa" w:w="1440"/>
          </w:tcPr>
          <w:p>
            <w:r>
              <w:rPr>
                <w:sz w:val="20"/>
              </w:rPr>
              <w:t>Cass</w:t>
            </w:r>
          </w:p>
        </w:tc>
        <w:tc>
          <w:tcPr>
            <w:tcW w:type="dxa" w:w="3888"/>
          </w:tcPr>
          <w:p>
            <w:r>
              <w:rPr>
                <w:sz w:val="20"/>
              </w:rPr>
              <w:t>A globally rare fire-dependent Jack Pine-(Yarrow) Woodland, characterized by a mix of prairie and northern forest plant species.</w:t>
            </w:r>
          </w:p>
        </w:tc>
        <w:tc>
          <w:tcPr>
            <w:tcW w:type="dxa" w:w="1080"/>
          </w:tcPr>
          <w:p>
            <w:r>
              <w:rPr>
                <w:sz w:val="20"/>
              </w:rPr>
              <w:t>Fee Title</w:t>
            </w:r>
          </w:p>
        </w:tc>
        <w:tc>
          <w:tcPr>
            <w:tcW w:type="dxa" w:w="432"/>
          </w:tcPr>
          <w:p>
            <w:pPr>
              <w:jc w:val="right"/>
            </w:pPr>
            <w:r>
              <w:rPr>
                <w:sz w:val="20"/>
              </w:rPr>
              <w:t>800</w:t>
            </w:r>
          </w:p>
        </w:tc>
        <w:tc>
          <w:tcPr>
            <w:tcW w:type="dxa" w:w="432"/>
          </w:tcPr>
          <w:p>
            <w:pPr>
              <w:jc w:val="right"/>
            </w:pPr>
            <w:r>
              <w:rPr>
                <w:sz w:val="20"/>
              </w:rPr>
              <w:t>-</w:t>
            </w:r>
          </w:p>
        </w:tc>
        <w:tc>
          <w:tcPr>
            <w:tcW w:type="dxa" w:w="1080"/>
          </w:tcPr>
          <w:p>
            <w:pPr>
              <w:jc w:val="right"/>
            </w:pPr>
            <w:r>
              <w:rPr>
                <w:sz w:val="20"/>
              </w:rPr>
              <w:t>$1,200,000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North Fork Zumbro Woods SNA addition</w:t>
            </w:r>
          </w:p>
        </w:tc>
        <w:tc>
          <w:tcPr>
            <w:tcW w:type="dxa" w:w="1440"/>
          </w:tcPr>
          <w:p>
            <w:r>
              <w:rPr>
                <w:sz w:val="20"/>
              </w:rPr>
              <w:t>Goodhue</w:t>
            </w:r>
          </w:p>
        </w:tc>
        <w:tc>
          <w:tcPr>
            <w:tcW w:type="dxa" w:w="3888"/>
          </w:tcPr>
          <w:p>
            <w:r>
              <w:rPr>
                <w:sz w:val="20"/>
              </w:rPr>
              <w:t>Contains incredibly high-quality habitat and is one of the few remaining populations of the state- and federally-endangered Dwarf trout lily. This property would join two disjunct SNA parcels together and extend protections to the largest portion of the Dwarf Trout Lily population that is present on-site.</w:t>
            </w:r>
          </w:p>
        </w:tc>
        <w:tc>
          <w:tcPr>
            <w:tcW w:type="dxa" w:w="1080"/>
          </w:tcPr>
          <w:p>
            <w:r>
              <w:rPr>
                <w:sz w:val="20"/>
              </w:rPr>
              <w:t>Fee Title</w:t>
            </w:r>
          </w:p>
        </w:tc>
        <w:tc>
          <w:tcPr>
            <w:tcW w:type="dxa" w:w="432"/>
          </w:tcPr>
          <w:p>
            <w:pPr>
              <w:jc w:val="right"/>
            </w:pPr>
            <w:r>
              <w:rPr>
                <w:sz w:val="20"/>
              </w:rPr>
              <w:t>35</w:t>
            </w:r>
          </w:p>
        </w:tc>
        <w:tc>
          <w:tcPr>
            <w:tcW w:type="dxa" w:w="432"/>
          </w:tcPr>
          <w:p>
            <w:pPr>
              <w:jc w:val="right"/>
            </w:pPr>
            <w:r>
              <w:rPr>
                <w:sz w:val="20"/>
              </w:rPr>
              <w:t>-</w:t>
            </w:r>
          </w:p>
        </w:tc>
        <w:tc>
          <w:tcPr>
            <w:tcW w:type="dxa" w:w="1080"/>
          </w:tcPr>
          <w:p>
            <w:pPr>
              <w:jc w:val="right"/>
            </w:pPr>
            <w:r>
              <w:rPr>
                <w:sz w:val="20"/>
              </w:rPr>
              <w:t>$165,000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Rock Valley Prairie (NEW)</w:t>
            </w:r>
          </w:p>
        </w:tc>
        <w:tc>
          <w:tcPr>
            <w:tcW w:type="dxa" w:w="1440"/>
          </w:tcPr>
          <w:p>
            <w:r>
              <w:rPr>
                <w:sz w:val="20"/>
              </w:rPr>
              <w:t>Yellow Medicine</w:t>
            </w:r>
          </w:p>
        </w:tc>
        <w:tc>
          <w:tcPr>
            <w:tcW w:type="dxa" w:w="3888"/>
          </w:tcPr>
          <w:p>
            <w:r>
              <w:rPr>
                <w:sz w:val="20"/>
              </w:rPr>
              <w:t>Large complex of dry hill prairie and other plant communities in Minnesota River corridor. Populations of at least five Special Concern species present.</w:t>
            </w:r>
          </w:p>
        </w:tc>
        <w:tc>
          <w:tcPr>
            <w:tcW w:type="dxa" w:w="1080"/>
          </w:tcPr>
          <w:p>
            <w:r>
              <w:rPr>
                <w:sz w:val="20"/>
              </w:rPr>
              <w:t>Fee Title</w:t>
            </w:r>
          </w:p>
        </w:tc>
        <w:tc>
          <w:tcPr>
            <w:tcW w:type="dxa" w:w="432"/>
          </w:tcPr>
          <w:p>
            <w:pPr>
              <w:jc w:val="right"/>
            </w:pPr>
            <w:r>
              <w:rPr>
                <w:sz w:val="20"/>
              </w:rPr>
              <w:t>116</w:t>
            </w:r>
          </w:p>
        </w:tc>
        <w:tc>
          <w:tcPr>
            <w:tcW w:type="dxa" w:w="432"/>
          </w:tcPr>
          <w:p>
            <w:pPr>
              <w:jc w:val="right"/>
            </w:pPr>
            <w:r>
              <w:rPr>
                <w:sz w:val="20"/>
              </w:rPr>
              <w:t>-</w:t>
            </w:r>
          </w:p>
        </w:tc>
        <w:tc>
          <w:tcPr>
            <w:tcW w:type="dxa" w:w="1080"/>
          </w:tcPr>
          <w:p>
            <w:pPr>
              <w:jc w:val="right"/>
            </w:pPr>
            <w:r>
              <w:rPr>
                <w:sz w:val="20"/>
              </w:rPr>
              <w:t>$130,000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1,392</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$3,115,000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To be acquired and designated as SNA, the site must be recommended for SNA designation in an Ecological Evaluation report, which serves as the site’s baseline assessment for fee acquisitions.  All such sites are predominantly MBS-mapped native plant communities and contain habitat for rare species and SGCN.  In addition, SNA staff use the “SNA Candidate Site Evaluation Guide” (initially developed through the ENRTF-funded SNA strategic planning process) which incorporates criteria to rank which sites are currently pursued.  Criteria include diversity and quality of the native habitat, occurrence of rare species, occurrence of native plant communities under-represented in SNA system, parcel size, proximity to biodiversity hotspots (particularly MBS-mapped areas of outstanding and high biodiversity significance) and other conservation lands (including SNA Strategic Land Protection Plan’s Conservation Opportunity Areas and Minnesota Prairie Conservation Plan’s Core Areas), potential for long-term management, and additional factors (e.g. landowner readiness, urgency, and/or willingness to donate; degree of vulnerability to imminent degradation; and partnership opportunities).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w:t>
        <w:tab/>
        <w:t>SNA Strategic Land Protection Plan – http://www.dnr.state.mn.us/snap/plan.html</w:t>
        <w:br/>
        <w:t>•</w:t>
        <w:tab/>
        <w:t>Minnesota’s State Wildlife Action Plan – http://www.dnr.state.mn.us/mnwap/index.html</w:t>
        <w:br/>
        <w:t>•</w:t>
        <w:tab/>
        <w:t>Minnesota Prairie Conservation Plan – www.dnr.state.mn.us/prairieplan</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Each parcel acquired as a new SNA in fee will have an Adaptive Management Plan (AMP) or, if acquired as an addition to an existing SNA, that SNA's Management Plan would be amended to add the new parcel. The AMPs include goals, ecological description, priority features with indicators, and management recommendations.   The intended outcome of management of SNAs is that 1) all the lands be native plant communities or restored to plant communities that would have been native to the site, 2) these plant communities are sustained over time, and 3) visitors are accommodated safely (unless visitor access is restricted by designation order). The goals for the SNA’s management are based upon soils, topography, geology, and other factors necessary to sustain the plant community.  Each plan includes an implementation timetable that summarizes ongoing management needs and a statement on funding.  Long-term management costs (e.g. invasive species treatments, prescribed fire, and monitoring/evaluation) will be covered by a combination of funding sources, including but not limited to ENRTF, Outdoor Heritage Fund (OHF), federal grants, and other funds as appropriated.  Each AMP is kept in a DNR internal shared electronic filing system accessible to all SNA staff.</w:t>
      </w:r>
    </w:p>
    <w:p>
      <w:r>
        <w:rPr>
          <w:b/>
        </w:rPr>
        <w:t xml:space="preserve">4. For each parcel to be conveyed to a State of Minnesota entity (e.g., DNR) after purchase, provide a statement confirming that county board approval will be obtained. </w:t>
        <w:br/>
      </w:r>
      <w:r>
        <w:t>The DNR follows Minnesota Statutes 84.033, which require that any land acquired for designation as SNA must have county board approval as prescribed under MS 97A.145.</w:t>
      </w:r>
    </w:p>
    <w:p>
      <w:r>
        <w:rPr>
          <w:b/>
        </w:rPr>
        <w:t xml:space="preserve">5. If applicable (see M.S. 116P.17), provide a statement confirming that written approval from the DNR Commissioner will be obtained 10 business days prior to any final acquisition transaction. </w:t>
        <w:br/>
      </w:r>
      <w:r>
        <w:t>As part of the DNR acquisition process, all SNA acquisitions are required to have approval of the Ecological and Water Resources Division Director and land conveyances are accepted by the Director or Assistant Director of the Division of Lands and Minerals, all of whom have delegated authority to approve this for the Commissioner.</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22c624a3-645.pdf</w:t>
          </w:r>
        </w:hyperlink>
      </w:r>
    </w:p>
    <w:p>
      <w:pPr>
        <w:pStyle w:val="Heading4"/>
        <w:spacing w:before="40" w:after="20"/>
      </w:pPr>
      <w:r>
        <w:rPr>
          <w:b/>
          <w:i/>
          <w:color w:val="000000"/>
          <w:sz w:val="24"/>
        </w:rPr>
        <w:t>Alternate Text for Map</w:t>
      </w:r>
    </w:p>
    <w:p>
      <w:r>
        <w:t>Minnesota's SNAs protect and perpetuate in an undisturbed natural condition the state's natural heritage features of exceptional scientific or educational value. This map depicts parcel locations included on the proposal's parcel list for protection through fee-title acquisition (circle markers)....</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Recommended for 92% of original request, therefore work plan budget and outcomes were reduced by ~92%.  Rounded new acres to be protected to 90acres (from 100 acres).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Is the purpose of the acquisition for construction of a building(s), trail, campground, or other fixed capital asset costing $10,000 or more or large- scale stream or wetland restoration, either now or in the future?</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MN DNR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2c624a3-6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Scientific and Natural Area (SNA) Biodiversity Protection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