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2025-188</w:t>
      </w:r>
    </w:p>
    <w:p>
      <w:r>
        <w:rPr>
          <w:b/>
        </w:rPr>
        <w:t xml:space="preserve">Staff Lead: </w:t>
      </w:r>
      <w:r>
        <w:t>Michael Varien</w:t>
      </w:r>
    </w:p>
    <w:p>
      <w:r>
        <w:rPr>
          <w:b/>
        </w:rPr>
        <w:t xml:space="preserve">Date this document submitted to LCCMR: </w:t>
      </w:r>
      <w:r>
        <w:t>June 9, 2025</w:t>
      </w:r>
    </w:p>
    <w:p>
      <w:r>
        <w:rPr>
          <w:b/>
        </w:rPr>
        <w:t xml:space="preserve">Project Title: </w:t>
      </w:r>
      <w:r>
        <w:t>Health and Disease Monitoring in Minnesota Wildlife</w:t>
      </w:r>
    </w:p>
    <w:p>
      <w:r>
        <w:rPr>
          <w:b/>
        </w:rPr>
        <w:t xml:space="preserve">Project Budget: </w:t>
      </w:r>
      <w:r>
        <w:t>$750,000</w:t>
      </w:r>
    </w:p>
    <w:p/>
    <w:p>
      <w:pPr>
        <w:pStyle w:val="Heading2"/>
        <w:spacing w:before="0" w:after="80"/>
      </w:pPr>
      <w:r>
        <w:rPr>
          <w:b/>
          <w:color w:val="2C559C"/>
          <w:sz w:val="28"/>
        </w:rPr>
        <w:t>Project Manager Information</w:t>
      </w:r>
    </w:p>
    <w:p>
      <w:r>
        <w:rPr>
          <w:b/>
        </w:rPr>
        <w:t xml:space="preserve">Name: </w:t>
      </w:r>
      <w:r>
        <w:t>Arno Wuenschmann</w:t>
      </w:r>
    </w:p>
    <w:p>
      <w:r>
        <w:rPr>
          <w:b/>
        </w:rPr>
        <w:t xml:space="preserve">Organization: </w:t>
      </w:r>
      <w:r>
        <w:t>U of MN - Minnesota Veterinary Diagnostic Laboratory</w:t>
      </w:r>
    </w:p>
    <w:p>
      <w:r>
        <w:rPr>
          <w:b/>
        </w:rPr>
        <w:t xml:space="preserve">Office Telephone: </w:t>
      </w:r>
      <w:r>
        <w:t>(612) 624-3249</w:t>
      </w:r>
    </w:p>
    <w:p>
      <w:r>
        <w:rPr>
          <w:b/>
        </w:rPr>
        <w:t xml:space="preserve">Email: </w:t>
      </w:r>
      <w:r>
        <w:t>wunsc001@umn.edu</w:t>
      </w:r>
    </w:p>
    <w:p>
      <w:r>
        <w:rPr>
          <w:b/>
        </w:rPr>
        <w:t xml:space="preserve">Web Address: </w:t>
      </w:r>
      <w:r>
        <w:t>vdl.umn.edu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03s</w:t>
      </w:r>
    </w:p>
    <w:p>
      <w:r>
        <w:rPr>
          <w:b/>
        </w:rPr>
        <w:t xml:space="preserve">Appropriation Language: </w:t>
      </w:r>
      <w:r>
        <w:t xml:space="preserve">$750,000 the first year is from the trust fund to the Board of Regents of the University of Minnesota, Minnesota Veterinary Diagnostic Laboratory, to collaborate with wildlife rehabilitation organizations and other wildlife health professionals throughout Minnesota to enhance the state's health and disease surveillance, preparedness, and response efforts.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project will enhance a. knowledge of wildlife health and disease and b. diagnostic capacity by significantly increasing the number of postmortem examinations of free-ranging animals and training wildlife pathologists.</w:t>
      </w:r>
    </w:p>
    <w:p>
      <w:pPr>
        <w:spacing w:after="60"/>
      </w:pPr>
      <w:r>
        <w:rPr>
          <w:b/>
        </w:rPr>
        <w:t>Describe the opportunity or problem your proposal seeks to address. Include any relevant background information.</w:t>
      </w:r>
    </w:p>
    <w:p>
      <w:r>
        <w:t>Wildlife holds cultural, historical, and ecological significance, enriching the lives of Minnesotans through recreational activities, sustenance hunting, and every day enjoyment. The state's wildlife faces persistent threats from endemic and emerging diseases, such as white nose syndrome, which can lead to significant mortality events. Protecting wildlife health is vital for species conservation but also for safeguarding human and livestock health. Diseases like rabies and tularemia as well as certain parasites pose risks to both wildlife and humans. Emergence of new pathogens, such as SARS-COV-2, requires vigilance to determine whether cross-over to new host populations is occurring. Timely and thorough examination of deceased wildlife by trained pathologists is essential for disease monitoring and mitigation efforts. Nevertheless, funding for wildlife health monitoring remains limited. This project aims to address this challenge by leveraging various sources, including carcasses brought to the Minnesota Veterinary Diagnostic Laboratory from the Wildlife Rehabilitation Center, field biologists, and other wildlife rehabilitators across the state, and those collected through the Bell Museum's carcass collection grant (LCCMR grant 2023-146). By maximizing access to suitable wildlife specimens, we enhance disease surveillance and improve our understanding of disease dynamics across Minnesota, while protecting human, animal, and ecosystem health.</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are seeking funding to enhance wildlife health and disease monitoring of free-ranging animals at the Minnesota Veterinary Diagnostic Laboratory over a three-year period. Specifically, our project aims to cover the fees for complete postmortem examinations of sick or dead wildlife reported by the public or e.g. field biologists of tribal nations for determination of the cause(s) of their illness or death. Additionally, we propose to expand the scope of postmortem examinations to include animals that perish under the care of licensed wildlife rehabilitators and veterinarians at wildlife rehabilitation organizations throughout the state of Minnesota, such as the Wildlife Rehabilitation Center (WRC). Currently, limited funding impedes postmortem examination of wildlife mortality cases at these facilities because all resources are focused on live animals resulting in loss of valuable information.</w:t>
        <w:br/>
        <w:t>Furthermore, our funding request includes support for veterinary pathology residents for three years. This investment will enable three pathology residents to specialize in the diseases affecting wildlife, bolstering expertise in this critical but underserved field. By subsidizing postmortem examinations and investing in specialized training, our project aims to improve wildlife disease surveillance, enhance understanding of wildlife health dynamics, and contribute to the overall well-being of Minnesota's ecosystems.</w:t>
      </w:r>
    </w:p>
    <w:p>
      <w:pPr>
        <w:spacing w:after="60"/>
      </w:pPr>
      <w:r>
        <w:rPr>
          <w:b/>
        </w:rPr>
        <w:t xml:space="preserve">What are the specific project outcomes as they relate to the public purpose of protection, conservation, preservation, and enhancement of the state’s natural resources? </w:t>
      </w:r>
    </w:p>
    <w:p>
      <w:r>
        <w:t>The outcomes of this project directly advance the protection, conservation, and enhancement of Minnesota’s natural resources via the following outcomes:</w:t>
        <w:br/>
        <w:t>1.</w:t>
        <w:tab/>
        <w:t xml:space="preserve">Early detection of emerging infectious and possibly zoonotic diseases. </w:t>
        <w:br/>
        <w:t>2.</w:t>
        <w:tab/>
        <w:t>Informed wildlife management decisions based on comprehensive disease surveillance data.</w:t>
        <w:br/>
        <w:t>3.</w:t>
        <w:tab/>
        <w:t>Enhanced care for wildlife in rehabilitation centers, ultimately leading toward better release rates.</w:t>
        <w:br/>
        <w:t>4.</w:t>
        <w:tab/>
        <w:t>Establishment of a robust disease surveillance system aligned with the One Health model, enhancing statewide preparedness and response efforts.</w:t>
        <w:br/>
        <w:t>5.</w:t>
        <w:tab/>
        <w:t>Provision of specialized training in wildlife pathology.</w:t>
        <w:br/>
        <w:t>These outcomes represent a critical step towards safeguarding Minnesota's wildlife populations and ecosystems for future generations.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Performing postmortem examination of free-ranging animals that are found dead or that died while under care by wildlife rehabilitators</w:t>
      </w:r>
    </w:p>
    <w:p>
      <w:r>
        <w:rPr>
          <w:b/>
        </w:rPr>
        <w:t xml:space="preserve">Activity Budget: </w:t>
      </w:r>
      <w:r>
        <w:t>$750,000</w:t>
      </w:r>
    </w:p>
    <w:p>
      <w:r>
        <w:rPr>
          <w:b/>
        </w:rPr>
        <w:t xml:space="preserve">Activity Description: </w:t>
        <w:br/>
      </w:r>
      <w:r>
        <w:t>The funding enables postmortem examinations of vertebrate wildlife species, including amphibians, reptiles, birds, and mammals, submitted to the Minnesota Veterinary Diagnostic Laboratory throughout the study period. These examinations will entail a gross inspection of the carcasses and the microscopic examination of a wide variety of organs. Specialized investigative methods, such as microbiology, toxicology, electron microscopy and molecular diagnostics will be employed at the discretion of the submitting clinicians and pathologists. This holistic approach ensures that potential diseases or health issues affecting a wide range of wildlife species are identified and characterized accurately. Results will be communicated in real time to the submitters and the data will be analyzed as a whole.</w:t>
        <w:br/>
        <w:t>The submitted animals enable the training of residents in wildlife pathology but also veterinary students and veterinary clinicians working with wildlife. By examining a diverse array of species, we can gain valuable insights into disease dynamics, health trends, and potential threats to wildlife, livestock and human health. This activity will not only enhance our understanding of wildlife health but also contribute to the development of effective management strategies and interventions to protect Minnesota's precious natural resources for the benefit of hunters, non-consumptive resource users, and future.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postmortem examination of 400 wildlife cases (July 2025 to June 2026)</w:t>
            </w:r>
          </w:p>
        </w:tc>
        <w:tc>
          <w:tcPr>
            <w:tcW w:type="dxa" w:w="2160"/>
          </w:tcPr>
          <w:p>
            <w:pPr>
              <w:jc w:val="right"/>
            </w:pPr>
            <w:r>
              <w:rPr>
                <w:sz w:val="20"/>
              </w:rPr>
              <w:t>June 30, 2026</w:t>
            </w:r>
          </w:p>
        </w:tc>
      </w:tr>
      <w:tr>
        <w:tc>
          <w:tcPr>
            <w:tcW w:type="dxa" w:w="8640"/>
          </w:tcPr>
          <w:p>
            <w:r>
              <w:rPr>
                <w:sz w:val="20"/>
              </w:rPr>
              <w:t>Complete postmortem examination of 400 wildlife cases (July 2026 to June 2027)</w:t>
            </w:r>
          </w:p>
        </w:tc>
        <w:tc>
          <w:tcPr>
            <w:tcW w:type="dxa" w:w="2160"/>
          </w:tcPr>
          <w:p>
            <w:pPr>
              <w:jc w:val="right"/>
            </w:pPr>
            <w:r>
              <w:rPr>
                <w:sz w:val="20"/>
              </w:rPr>
              <w:t>June 30, 2027</w:t>
            </w:r>
          </w:p>
        </w:tc>
      </w:tr>
      <w:tr>
        <w:tc>
          <w:tcPr>
            <w:tcW w:type="dxa" w:w="8640"/>
          </w:tcPr>
          <w:p>
            <w:r>
              <w:rPr>
                <w:sz w:val="20"/>
              </w:rPr>
              <w:t>Complete postmortem examination of 400 wildlife cases (July 2027 to June 2028)(final)</w:t>
            </w:r>
          </w:p>
        </w:tc>
        <w:tc>
          <w:tcPr>
            <w:tcW w:type="dxa" w:w="2160"/>
          </w:tcPr>
          <w:p>
            <w:pPr>
              <w:jc w:val="right"/>
            </w:pPr>
            <w:r>
              <w:rPr>
                <w:sz w:val="20"/>
              </w:rPr>
              <w:t>June 30, 2028</w:t>
            </w:r>
          </w:p>
        </w:tc>
      </w:tr>
      <w:tr>
        <w:tc>
          <w:tcPr>
            <w:tcW w:type="dxa" w:w="8640"/>
          </w:tcPr>
          <w:p>
            <w:r>
              <w:rPr>
                <w:sz w:val="20"/>
              </w:rPr>
              <w:t>Share raw data and Summarize, analyze and report data quarterly to public (on VDL webpage)</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Renee Schott</w:t>
            </w:r>
          </w:p>
        </w:tc>
        <w:tc>
          <w:tcPr>
            <w:tcW w:type="dxa" w:w="1440"/>
          </w:tcPr>
          <w:p>
            <w:r>
              <w:rPr>
                <w:sz w:val="20"/>
              </w:rPr>
              <w:t>Wildlife Rehabilitation Center of Minnesota</w:t>
            </w:r>
          </w:p>
        </w:tc>
        <w:tc>
          <w:tcPr>
            <w:tcW w:type="dxa" w:w="6840"/>
          </w:tcPr>
          <w:p>
            <w:r>
              <w:rPr>
                <w:sz w:val="20"/>
              </w:rPr>
              <w:t>Triage cases for submission to Diagnostic Laboratory, analyze data, report results to public</w:t>
            </w:r>
          </w:p>
        </w:tc>
        <w:tc>
          <w:tcPr>
            <w:tcW w:type="dxa" w:w="1080"/>
          </w:tcPr>
          <w:p>
            <w:r>
              <w:rPr>
                <w:sz w:val="20"/>
              </w:rPr>
              <w:t>Yes</w:t>
            </w:r>
          </w:p>
        </w:tc>
      </w:tr>
      <w:tr>
        <w:tc>
          <w:tcPr>
            <w:tcW w:type="dxa" w:w="1440"/>
          </w:tcPr>
          <w:p>
            <w:r>
              <w:rPr>
                <w:sz w:val="20"/>
              </w:rPr>
              <w:t>Dr. Michelle Carstensen</w:t>
            </w:r>
          </w:p>
        </w:tc>
        <w:tc>
          <w:tcPr>
            <w:tcW w:type="dxa" w:w="1440"/>
          </w:tcPr>
          <w:p>
            <w:r>
              <w:rPr>
                <w:sz w:val="20"/>
              </w:rPr>
              <w:t>Minnesota Department of Natural Resources</w:t>
            </w:r>
          </w:p>
        </w:tc>
        <w:tc>
          <w:tcPr>
            <w:tcW w:type="dxa" w:w="6840"/>
          </w:tcPr>
          <w:p>
            <w:r>
              <w:rPr>
                <w:sz w:val="20"/>
              </w:rPr>
              <w:t>Triaging cases, submitting cases; analyzing data, public relations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1)</w:t>
        <w:tab/>
        <w:t>The submitter/submitting agency of any given case will receive the necropsy results via email in a timely manner (just as any client of the Minnesota VDL does).</w:t>
        <w:br/>
        <w:t>2)</w:t>
        <w:tab/>
        <w:t>- If reportable diseases were diagnosed: The Department of Natural Resources and Board of Animal Health will receive results and will report the results to the target audiences and public as regulated by law.</w:t>
        <w:br/>
        <w:t>- In cases in which non-reportable diseases were diagnosed:</w:t>
        <w:br/>
        <w:t>(a) We will create an email distribution list with regular email updates of summaries to the target audiences (Department of Natural Resources, Wildlife Center of Minnesota, the broader wildlife rehabilitation community of Minnesota and the field biology departments of Minnesota's tribal nations); summaries will contain the animal species, sex, estimated age class, location (county level - to the extend that no specific farms or households can be identified), and final diagnosis; the Minnesota VDL has capabilities and proven records of extracting and reporting data and creating email lists and performing email updates.</w:t>
        <w:br/>
        <w:t>b) We will post regularly summaries (e.g. every 3 months) on the Minnesota VDL website that is accessible to the public.</w:t>
        <w:br/>
        <w:t xml:space="preserve">c) We will create a "Wildlife Case of the Month" tab on the Minnesota VDL webpage that is accessible to the public. </w:t>
        <w:br/>
        <w:t xml:space="preserve">d) The submitted cases are being used to teach veterinary students and wildlife health professionals on the topic of "Wildlife Diseases". </w:t>
        <w:br/>
        <w:t>e) Furthermore, we are in the process of exploring the option of having an outreach activity at the MN State Fair in the DNR building or the University of Minnesota building.</w:t>
        <w:br/>
        <w:t>3) ENRTF will be acknowledged according to the guidelines (e.g. by using the ENRTF logo and attribution language) for any study-related communications and outreach.</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will identify existing and novel disease threats to Minnesota wildlife and by extension, livestock and Minnesotans. Disease surveillance ideally is a long-term effort in order to map spatial and temporal trends. In this sense, the project will provide baseline data that data of future projects can be compared to. Specific findings of the proposed project period will lead to scientific discoveries that in turn will generate spin off projects. Furthermore, the findings have the potential to improve patient care and hereby treatment outcomes for wildlife at the Wildlife Rehabilitation Center and other rehabilitation organizations in the state.</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PI, pathologist</w:t>
            </w:r>
          </w:p>
        </w:tc>
        <w:tc>
          <w:tcPr>
            <w:tcW w:type="dxa" w:w="1440"/>
          </w:tcPr>
          <w:p>
            <w:r>
              <w:rPr>
                <w:sz w:val="20"/>
              </w:rPr>
            </w:r>
          </w:p>
        </w:tc>
        <w:tc>
          <w:tcPr>
            <w:tcW w:type="dxa" w:w="5472"/>
          </w:tcPr>
          <w:p>
            <w:r>
              <w:rPr>
                <w:sz w:val="20"/>
              </w:rPr>
              <w:t>Conduct postmortem examinations, report, summarize and analyze data, project oversight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$164,062</w:t>
            </w:r>
          </w:p>
        </w:tc>
      </w:tr>
      <w:tr>
        <w:tc>
          <w:tcPr>
            <w:tcW w:type="dxa" w:w="864"/>
          </w:tcPr>
          <w:p>
            <w:r>
              <w:rPr>
                <w:sz w:val="20"/>
              </w:rPr>
              <w:t>Pathology Resident</w:t>
            </w:r>
          </w:p>
        </w:tc>
        <w:tc>
          <w:tcPr>
            <w:tcW w:type="dxa" w:w="1440"/>
          </w:tcPr>
          <w:p>
            <w:r>
              <w:rPr>
                <w:sz w:val="20"/>
              </w:rPr>
            </w:r>
          </w:p>
        </w:tc>
        <w:tc>
          <w:tcPr>
            <w:tcW w:type="dxa" w:w="5472"/>
          </w:tcPr>
          <w:p>
            <w:r>
              <w:rPr>
                <w:sz w:val="20"/>
              </w:rPr>
              <w:t>Conduct postmortem examinations; summarize, analyze and report data quarterly</w:t>
            </w:r>
          </w:p>
        </w:tc>
        <w:tc>
          <w:tcPr>
            <w:tcW w:type="dxa" w:w="4032"/>
          </w:tcPr>
          <w:p>
            <w:r>
              <w:rPr>
                <w:sz w:val="20"/>
              </w:rPr>
            </w:r>
          </w:p>
        </w:tc>
        <w:tc>
          <w:tcPr>
            <w:tcW w:type="dxa" w:w="360"/>
          </w:tcPr>
          <w:p>
            <w:r>
              <w:rPr>
                <w:sz w:val="20"/>
              </w:rPr>
            </w:r>
          </w:p>
        </w:tc>
        <w:tc>
          <w:tcPr>
            <w:tcW w:type="dxa" w:w="360"/>
          </w:tcPr>
          <w:p>
            <w:pPr>
              <w:jc w:val="right"/>
            </w:pPr>
            <w:r>
              <w:rPr>
                <w:sz w:val="20"/>
              </w:rPr>
              <w:t>7.7%</w:t>
            </w:r>
          </w:p>
        </w:tc>
        <w:tc>
          <w:tcPr>
            <w:tcW w:type="dxa" w:w="360"/>
          </w:tcPr>
          <w:p>
            <w:pPr>
              <w:jc w:val="right"/>
            </w:pPr>
            <w:r>
              <w:rPr>
                <w:sz w:val="20"/>
              </w:rPr>
              <w:t>2.4</w:t>
            </w:r>
          </w:p>
        </w:tc>
        <w:tc>
          <w:tcPr>
            <w:tcW w:type="dxa" w:w="360"/>
          </w:tcPr>
          <w:p>
            <w:r>
              <w:rPr>
                <w:sz w:val="20"/>
              </w:rPr>
            </w:r>
          </w:p>
        </w:tc>
        <w:tc>
          <w:tcPr>
            <w:tcW w:type="dxa" w:w="1152"/>
          </w:tcPr>
          <w:p>
            <w:pPr>
              <w:jc w:val="right"/>
            </w:pPr>
            <w:r>
              <w:rPr>
                <w:sz w:val="20"/>
              </w:rPr>
              <w:t>$132,111</w:t>
            </w:r>
          </w:p>
        </w:tc>
      </w:tr>
      <w:tr>
        <w:tc>
          <w:tcPr>
            <w:tcW w:type="dxa" w:w="864"/>
          </w:tcPr>
          <w:p>
            <w:r>
              <w:rPr>
                <w:sz w:val="20"/>
              </w:rPr>
              <w:t>Laboratory technician</w:t>
            </w:r>
          </w:p>
        </w:tc>
        <w:tc>
          <w:tcPr>
            <w:tcW w:type="dxa" w:w="1440"/>
          </w:tcPr>
          <w:p>
            <w:r>
              <w:rPr>
                <w:sz w:val="20"/>
              </w:rPr>
            </w:r>
          </w:p>
        </w:tc>
        <w:tc>
          <w:tcPr>
            <w:tcW w:type="dxa" w:w="5472"/>
          </w:tcPr>
          <w:p>
            <w:r>
              <w:rPr>
                <w:sz w:val="20"/>
              </w:rPr>
              <w:t>Assist with postmortem examinations, organize data and images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1.02</w:t>
            </w:r>
          </w:p>
        </w:tc>
        <w:tc>
          <w:tcPr>
            <w:tcW w:type="dxa" w:w="360"/>
          </w:tcPr>
          <w:p>
            <w:r>
              <w:rPr>
                <w:sz w:val="20"/>
              </w:rPr>
            </w:r>
          </w:p>
        </w:tc>
        <w:tc>
          <w:tcPr>
            <w:tcW w:type="dxa" w:w="1152"/>
          </w:tcPr>
          <w:p>
            <w:pPr>
              <w:jc w:val="right"/>
            </w:pPr>
            <w:r>
              <w:rPr>
                <w:sz w:val="20"/>
              </w:rPr>
              <w:t>$83,332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$379,505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Wildlife Rehabilitation Center of Minnesota</w:t>
            </w:r>
          </w:p>
        </w:tc>
        <w:tc>
          <w:tcPr>
            <w:tcW w:type="dxa" w:w="1440"/>
          </w:tcPr>
          <w:p>
            <w:r>
              <w:rPr>
                <w:sz w:val="20"/>
              </w:rPr>
              <w:t>Subaward</w:t>
            </w:r>
          </w:p>
        </w:tc>
        <w:tc>
          <w:tcPr>
            <w:tcW w:type="dxa" w:w="5472"/>
          </w:tcPr>
          <w:p>
            <w:r>
              <w:rPr>
                <w:sz w:val="20"/>
              </w:rPr>
              <w:t>WRC triages cases; submitting cases for postmortem examinations with relevant information (including date, location, signalment, clinical history), assist in analyzing data. About $28.434 are for labor involved with the submission of cases for necropsy, $17,160 are for courier service to the VDL and $915 are for disposables.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0.03</w:t>
            </w:r>
          </w:p>
        </w:tc>
        <w:tc>
          <w:tcPr>
            <w:tcW w:type="dxa" w:w="360"/>
          </w:tcPr>
          <w:p>
            <w:r>
              <w:rPr>
                <w:sz w:val="20"/>
              </w:rPr>
            </w:r>
          </w:p>
        </w:tc>
        <w:tc>
          <w:tcPr>
            <w:tcW w:type="dxa" w:w="1152"/>
          </w:tcPr>
          <w:p>
            <w:pPr>
              <w:jc w:val="right"/>
            </w:pPr>
            <w:r>
              <w:rPr>
                <w:sz w:val="20"/>
              </w:rPr>
              <w:t>$46,509</w:t>
            </w:r>
          </w:p>
        </w:tc>
      </w:tr>
      <w:tr>
        <w:tc>
          <w:tcPr>
            <w:tcW w:type="dxa" w:w="864"/>
          </w:tcPr>
          <w:p>
            <w:r>
              <w:rPr>
                <w:sz w:val="20"/>
              </w:rPr>
              <w:t>Minnesota Veterinary Diagnostic Laboratory</w:t>
            </w:r>
          </w:p>
        </w:tc>
        <w:tc>
          <w:tcPr>
            <w:tcW w:type="dxa" w:w="1440"/>
          </w:tcPr>
          <w:p>
            <w:r>
              <w:rPr>
                <w:sz w:val="20"/>
              </w:rPr>
              <w:t>Internal services or fees (uncommon)</w:t>
            </w:r>
          </w:p>
        </w:tc>
        <w:tc>
          <w:tcPr>
            <w:tcW w:type="dxa" w:w="5472"/>
          </w:tcPr>
          <w:p>
            <w:r>
              <w:rPr>
                <w:sz w:val="20"/>
              </w:rPr>
              <w:t>These are the fees for the postmortem examination of 1200 wild animals by the pathologists at the VDL ($182/animal) and include the gross examination, microscopic examination and microbiologic examination (bacteriology).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$218,094</w:t>
            </w:r>
          </w:p>
        </w:tc>
      </w:tr>
      <w:tr>
        <w:tc>
          <w:tcPr>
            <w:tcW w:type="dxa" w:w="864"/>
          </w:tcPr>
          <w:p>
            <w:r>
              <w:rPr>
                <w:sz w:val="20"/>
              </w:rPr>
              <w:t>Minnesota Veterinary Diagnostic Laboratory</w:t>
            </w:r>
          </w:p>
        </w:tc>
        <w:tc>
          <w:tcPr>
            <w:tcW w:type="dxa" w:w="1440"/>
          </w:tcPr>
          <w:p>
            <w:r>
              <w:rPr>
                <w:sz w:val="20"/>
              </w:rPr>
              <w:t>Internal services or fees (uncommon)</w:t>
            </w:r>
          </w:p>
        </w:tc>
        <w:tc>
          <w:tcPr>
            <w:tcW w:type="dxa" w:w="5472"/>
          </w:tcPr>
          <w:p>
            <w:r>
              <w:rPr>
                <w:sz w:val="20"/>
              </w:rPr>
              <w:t>Some of the cases will require more advanced testing (including toxicology, electron microscopy and molecular diagnostics) as determined by the submitting clinicians and the pathologists. These fees are charged in addition to the regular necropsy fees.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$105,892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$370,495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Veterinary Diagnostic Laboratory</w:t>
            </w:r>
          </w:p>
        </w:tc>
        <w:tc>
          <w:tcPr>
            <w:tcW w:type="dxa" w:w="6120"/>
          </w:tcPr>
          <w:p>
            <w:r>
              <w:rPr>
                <w:sz w:val="20"/>
              </w:rPr>
              <w:t>0.3 FTE of PI</w:t>
            </w:r>
          </w:p>
        </w:tc>
        <w:tc>
          <w:tcPr>
            <w:tcW w:type="dxa" w:w="1080"/>
          </w:tcPr>
          <w:p>
            <w:r>
              <w:rPr>
                <w:sz w:val="20"/>
              </w:rPr>
              <w:t>Secured</w:t>
            </w:r>
          </w:p>
        </w:tc>
        <w:tc>
          <w:tcPr>
            <w:tcW w:type="dxa" w:w="1440"/>
          </w:tcPr>
          <w:p>
            <w:pPr>
              <w:jc w:val="right"/>
            </w:pPr>
            <w:r>
              <w:rPr>
                <w:sz w:val="20"/>
              </w:rPr>
              <w:t>$246,093</w:t>
            </w:r>
          </w:p>
        </w:tc>
      </w:tr>
      <w:tr>
        <w:tc>
          <w:tcPr>
            <w:tcW w:type="dxa" w:w="1080"/>
          </w:tcPr>
          <w:p>
            <w:r>
              <w:rPr>
                <w:sz w:val="20"/>
              </w:rPr>
              <w:t>In-Kind</w:t>
            </w:r>
          </w:p>
        </w:tc>
        <w:tc>
          <w:tcPr>
            <w:tcW w:type="dxa" w:w="4680"/>
          </w:tcPr>
          <w:p>
            <w:r>
              <w:rPr>
                <w:sz w:val="20"/>
              </w:rPr>
              <w:t>Department of Natural Resources</w:t>
            </w:r>
          </w:p>
        </w:tc>
        <w:tc>
          <w:tcPr>
            <w:tcW w:type="dxa" w:w="6120"/>
          </w:tcPr>
          <w:p>
            <w:r>
              <w:rPr>
                <w:sz w:val="20"/>
              </w:rPr>
              <w:t>100 hours of Dr. Michelle Carstensen</w:t>
            </w:r>
          </w:p>
        </w:tc>
        <w:tc>
          <w:tcPr>
            <w:tcW w:type="dxa" w:w="1080"/>
          </w:tcPr>
          <w:p>
            <w:r>
              <w:rPr>
                <w:sz w:val="20"/>
              </w:rPr>
              <w:t>Secured</w:t>
            </w:r>
          </w:p>
        </w:tc>
        <w:tc>
          <w:tcPr>
            <w:tcW w:type="dxa" w:w="1440"/>
          </w:tcPr>
          <w:p>
            <w:pPr>
              <w:jc w:val="right"/>
            </w:pPr>
            <w:r>
              <w:rPr>
                <w:sz w:val="20"/>
              </w:rPr>
              <w:t>$16,200</w:t>
            </w:r>
          </w:p>
        </w:tc>
      </w:tr>
      <w:tr>
        <w:tc>
          <w:tcPr>
            <w:tcW w:type="dxa" w:w="1080"/>
          </w:tcPr>
          <w:p>
            <w:r>
              <w:rPr>
                <w:sz w:val="20"/>
              </w:rPr>
              <w:t>In-Kind</w:t>
            </w:r>
          </w:p>
        </w:tc>
        <w:tc>
          <w:tcPr>
            <w:tcW w:type="dxa" w:w="4680"/>
          </w:tcPr>
          <w:p>
            <w:r>
              <w:rPr>
                <w:sz w:val="20"/>
              </w:rPr>
              <w:t>Minnesota veterinary Diagnostic Laboratory</w:t>
            </w:r>
          </w:p>
        </w:tc>
        <w:tc>
          <w:tcPr>
            <w:tcW w:type="dxa" w:w="6120"/>
          </w:tcPr>
          <w:p>
            <w:r>
              <w:rPr>
                <w:sz w:val="20"/>
              </w:rPr>
              <w:t>0.16 FTE of a laboratory technician</w:t>
            </w:r>
          </w:p>
        </w:tc>
        <w:tc>
          <w:tcPr>
            <w:tcW w:type="dxa" w:w="1080"/>
          </w:tcPr>
          <w:p>
            <w:r>
              <w:rPr>
                <w:sz w:val="20"/>
              </w:rPr>
              <w:t>Secured</w:t>
            </w:r>
          </w:p>
        </w:tc>
        <w:tc>
          <w:tcPr>
            <w:tcW w:type="dxa" w:w="1440"/>
          </w:tcPr>
          <w:p>
            <w:pPr>
              <w:jc w:val="right"/>
            </w:pPr>
            <w:r>
              <w:rPr>
                <w:sz w:val="20"/>
              </w:rPr>
              <w:t>$40,329</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$302,622</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$302,622</w:t>
            </w:r>
          </w:p>
        </w:tc>
      </w:tr>
    </w:tbl>
    <w:p/>
    <w:p>
      <w:r>
        <w:rPr>
          <w:b/>
        </w:rPr>
        <w:t>Total Project Cost: $1,052,622</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96835663-d53.pdf</w:t>
          </w:r>
        </w:hyperlink>
      </w:r>
    </w:p>
    <w:p>
      <w:pPr>
        <w:pStyle w:val="Heading4"/>
        <w:spacing w:before="40" w:after="20"/>
      </w:pPr>
      <w:r>
        <w:rPr>
          <w:b/>
          <w:i/>
          <w:color w:val="000000"/>
          <w:sz w:val="24"/>
        </w:rPr>
        <w:t>Alternate Text for Visual Component</w:t>
      </w:r>
    </w:p>
    <w:p>
      <w:r>
        <w:t>Citizens collaborate with MN DNR and wildlife rehabilitators to help diseased animals and investigate mortality events. The investigation of the animals by pathologists is a highly efficient method of surveilling wildlife populations. The grant aims at providing funding to increase postmortem examinations of wildlife and training of wildlife pathologists....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DNR support letter</w:t>
            </w:r>
          </w:p>
        </w:tc>
        <w:tc>
          <w:tcPr>
            <w:tcW w:type="dxa" w:w="5400"/>
          </w:tcPr>
          <w:p>
            <w:r>
              <w:rPr>
                <w:sz w:val="20"/>
              </w:rPr>
            </w:r>
            <w:r>
              <w:rPr>
                <w:color w:val="000000" w:themeColor="hyperlink"/>
                <w:sz w:val="20"/>
                <w:u w:val="single"/>
              </w:rPr>
              <w:hyperlink r:id="rId13">
                <w:r>
                  <w:rPr/>
                  <w:t>0058fa44-d42.pdf</w:t>
                </w:r>
              </w:hyperlink>
            </w:r>
          </w:p>
        </w:tc>
      </w:tr>
      <w:tr>
        <w:tc>
          <w:tcPr>
            <w:tcW w:type="dxa" w:w="5400"/>
          </w:tcPr>
          <w:p>
            <w:r>
              <w:rPr>
                <w:sz w:val="20"/>
              </w:rPr>
              <w:t>VDL Support letter</w:t>
            </w:r>
          </w:p>
        </w:tc>
        <w:tc>
          <w:tcPr>
            <w:tcW w:type="dxa" w:w="5400"/>
          </w:tcPr>
          <w:p>
            <w:r>
              <w:rPr>
                <w:sz w:val="20"/>
              </w:rPr>
            </w:r>
            <w:r>
              <w:rPr>
                <w:color w:val="000000" w:themeColor="hyperlink"/>
                <w:sz w:val="20"/>
                <w:u w:val="single"/>
              </w:rPr>
              <w:hyperlink r:id="rId14">
                <w:r>
                  <w:rPr/>
                  <w:t>04eb577a-a7e.pdf</w:t>
                </w:r>
              </w:hyperlink>
            </w:r>
          </w:p>
        </w:tc>
      </w:tr>
      <w:tr>
        <w:tc>
          <w:tcPr>
            <w:tcW w:type="dxa" w:w="5400"/>
          </w:tcPr>
          <w:p>
            <w:r>
              <w:rPr>
                <w:sz w:val="20"/>
              </w:rPr>
              <w:t>Bell Museum Support Letter</w:t>
            </w:r>
          </w:p>
        </w:tc>
        <w:tc>
          <w:tcPr>
            <w:tcW w:type="dxa" w:w="5400"/>
          </w:tcPr>
          <w:p>
            <w:r>
              <w:rPr>
                <w:sz w:val="20"/>
              </w:rPr>
            </w:r>
            <w:r>
              <w:rPr>
                <w:color w:val="000000" w:themeColor="hyperlink"/>
                <w:sz w:val="20"/>
                <w:u w:val="single"/>
              </w:rPr>
              <w:hyperlink r:id="rId15">
                <w:r>
                  <w:rPr/>
                  <w:t>1a29fb88-517.pdf</w:t>
                </w:r>
              </w:hyperlink>
            </w:r>
          </w:p>
        </w:tc>
      </w:tr>
      <w:tr>
        <w:tc>
          <w:tcPr>
            <w:tcW w:type="dxa" w:w="5400"/>
          </w:tcPr>
          <w:p>
            <w:r>
              <w:rPr>
                <w:sz w:val="20"/>
              </w:rPr>
              <w:t>Dr. Wolf Support Letter</w:t>
            </w:r>
          </w:p>
        </w:tc>
        <w:tc>
          <w:tcPr>
            <w:tcW w:type="dxa" w:w="5400"/>
          </w:tcPr>
          <w:p>
            <w:r>
              <w:rPr>
                <w:sz w:val="20"/>
              </w:rPr>
            </w:r>
            <w:r>
              <w:rPr>
                <w:color w:val="000000" w:themeColor="hyperlink"/>
                <w:sz w:val="20"/>
                <w:u w:val="single"/>
              </w:rPr>
              <w:hyperlink r:id="rId16">
                <w:r>
                  <w:rPr/>
                  <w:t>e29921a4-a3e.pdf</w:t>
                </w:r>
              </w:hyperlink>
            </w:r>
          </w:p>
        </w:tc>
      </w:tr>
      <w:tr>
        <w:tc>
          <w:tcPr>
            <w:tcW w:type="dxa" w:w="5400"/>
          </w:tcPr>
          <w:p>
            <w:r>
              <w:rPr>
                <w:sz w:val="20"/>
              </w:rPr>
              <w:t>Secretary of State Good Standing</w:t>
            </w:r>
          </w:p>
        </w:tc>
        <w:tc>
          <w:tcPr>
            <w:tcW w:type="dxa" w:w="5400"/>
          </w:tcPr>
          <w:p>
            <w:r>
              <w:rPr>
                <w:sz w:val="20"/>
              </w:rPr>
            </w:r>
            <w:r>
              <w:rPr>
                <w:color w:val="000000" w:themeColor="hyperlink"/>
                <w:sz w:val="20"/>
                <w:u w:val="single"/>
              </w:rPr>
              <w:hyperlink r:id="rId17">
                <w:r>
                  <w:rPr/>
                  <w:t>5f5132c7-095.pdf</w:t>
                </w:r>
              </w:hyperlink>
            </w:r>
          </w:p>
        </w:tc>
      </w:tr>
      <w:tr>
        <w:tc>
          <w:tcPr>
            <w:tcW w:type="dxa" w:w="5400"/>
          </w:tcPr>
          <w:p>
            <w:r>
              <w:rPr>
                <w:sz w:val="20"/>
              </w:rPr>
              <w:t>Tax exemption letter</w:t>
            </w:r>
          </w:p>
        </w:tc>
        <w:tc>
          <w:tcPr>
            <w:tcW w:type="dxa" w:w="5400"/>
          </w:tcPr>
          <w:p>
            <w:r>
              <w:rPr>
                <w:sz w:val="20"/>
              </w:rPr>
            </w:r>
            <w:r>
              <w:rPr>
                <w:color w:val="000000" w:themeColor="hyperlink"/>
                <w:sz w:val="20"/>
                <w:u w:val="single"/>
              </w:rPr>
              <w:hyperlink r:id="rId18">
                <w:r>
                  <w:rPr/>
                  <w:t>60deb1d8-080.pdf</w:t>
                </w:r>
              </w:hyperlink>
            </w:r>
          </w:p>
        </w:tc>
      </w:tr>
      <w:tr>
        <w:tc>
          <w:tcPr>
            <w:tcW w:type="dxa" w:w="5400"/>
          </w:tcPr>
          <w:p>
            <w:r>
              <w:rPr>
                <w:sz w:val="20"/>
              </w:rPr>
              <w:t>UMN 2023 Audit</w:t>
            </w:r>
          </w:p>
        </w:tc>
        <w:tc>
          <w:tcPr>
            <w:tcW w:type="dxa" w:w="5400"/>
          </w:tcPr>
          <w:p>
            <w:r>
              <w:rPr>
                <w:sz w:val="20"/>
              </w:rPr>
            </w:r>
            <w:r>
              <w:rPr>
                <w:color w:val="000000" w:themeColor="hyperlink"/>
                <w:sz w:val="20"/>
                <w:u w:val="single"/>
              </w:rPr>
              <w:hyperlink r:id="rId19">
                <w:r>
                  <w:rPr/>
                  <w:t>8b9c9d2a-268.pdf</w:t>
                </w:r>
              </w:hyperlink>
            </w:r>
          </w:p>
        </w:tc>
      </w:tr>
      <w:tr>
        <w:tc>
          <w:tcPr>
            <w:tcW w:type="dxa" w:w="5400"/>
          </w:tcPr>
          <w:p>
            <w:r>
              <w:rPr>
                <w:sz w:val="20"/>
              </w:rPr>
              <w:t>Board Reviewed Financial Statement</w:t>
            </w:r>
          </w:p>
        </w:tc>
        <w:tc>
          <w:tcPr>
            <w:tcW w:type="dxa" w:w="5400"/>
          </w:tcPr>
          <w:p>
            <w:r>
              <w:rPr>
                <w:sz w:val="20"/>
              </w:rPr>
            </w:r>
            <w:r>
              <w:rPr>
                <w:color w:val="000000" w:themeColor="hyperlink"/>
                <w:sz w:val="20"/>
                <w:u w:val="single"/>
              </w:rPr>
              <w:hyperlink r:id="rId20">
                <w:r>
                  <w:rPr/>
                  <w:t>dbd16f4c-84f.pdf</w:t>
                </w:r>
              </w:hyperlink>
            </w:r>
          </w:p>
        </w:tc>
      </w:tr>
      <w:tr>
        <w:tc>
          <w:tcPr>
            <w:tcW w:type="dxa" w:w="5400"/>
          </w:tcPr>
          <w:p>
            <w:r>
              <w:rPr>
                <w:sz w:val="20"/>
              </w:rPr>
              <w:t>U of MN approval letter</w:t>
            </w:r>
          </w:p>
        </w:tc>
        <w:tc>
          <w:tcPr>
            <w:tcW w:type="dxa" w:w="5400"/>
          </w:tcPr>
          <w:p>
            <w:r>
              <w:rPr>
                <w:sz w:val="20"/>
              </w:rPr>
            </w:r>
            <w:r>
              <w:rPr>
                <w:color w:val="000000" w:themeColor="hyperlink"/>
                <w:sz w:val="20"/>
                <w:u w:val="single"/>
              </w:rPr>
              <w:hyperlink r:id="rId21">
                <w:r>
                  <w:rPr/>
                  <w:t>2a37d648-92a.pdf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addressed the 7 provided comments in this revised submission.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University of Minnesota - Brett Carlson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6835663-d53.pdf" TargetMode="External"/><Relationship Id="rId13" Type="http://schemas.openxmlformats.org/officeDocument/2006/relationships/hyperlink" Target="https://lccmrprojectmgmt.leg.mn/media/attachments/0058fa44-d42.pdf" TargetMode="External"/><Relationship Id="rId14" Type="http://schemas.openxmlformats.org/officeDocument/2006/relationships/hyperlink" Target="https://lccmrprojectmgmt.leg.mn/media/attachments/04eb577a-a7e.pdf" TargetMode="External"/><Relationship Id="rId15" Type="http://schemas.openxmlformats.org/officeDocument/2006/relationships/hyperlink" Target="https://lccmrprojectmgmt.leg.mn/media/attachments/1a29fb88-517.pdf" TargetMode="External"/><Relationship Id="rId16" Type="http://schemas.openxmlformats.org/officeDocument/2006/relationships/hyperlink" Target="https://lccmrprojectmgmt.leg.mn/media/attachments/e29921a4-a3e.pdf" TargetMode="External"/><Relationship Id="rId17" Type="http://schemas.openxmlformats.org/officeDocument/2006/relationships/hyperlink" Target="https://lccmrprojectmgmt.leg.mn/media/attachments/5f5132c7-095.pdf" TargetMode="External"/><Relationship Id="rId18" Type="http://schemas.openxmlformats.org/officeDocument/2006/relationships/hyperlink" Target="https://lccmrprojectmgmt.leg.mn/media/attachments/60deb1d8-080.pdf" TargetMode="External"/><Relationship Id="rId19" Type="http://schemas.openxmlformats.org/officeDocument/2006/relationships/hyperlink" Target="https://lccmrprojectmgmt.leg.mn/media/attachments/8b9c9d2a-268.pdf" TargetMode="External"/><Relationship Id="rId20" Type="http://schemas.openxmlformats.org/officeDocument/2006/relationships/hyperlink" Target="https://lccmrprojectmgmt.leg.mn/media/attachments/dbd16f4c-84f.pdf" TargetMode="External"/><Relationship Id="rId21" Type="http://schemas.openxmlformats.org/officeDocument/2006/relationships/hyperlink" Target="https://lccmrprojectmgmt.leg.mn/media/attachments/2a37d648-92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Health and Disease Monitoring in Minnesota Wildlife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