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2025-181</w:t>
      </w:r>
    </w:p>
    <w:p>
      <w:r>
        <w:rPr>
          <w:b/>
        </w:rPr>
        <w:t xml:space="preserve">Staff Lead: </w:t>
      </w:r>
      <w:r>
        <w:t>Noah Fribley</w:t>
      </w:r>
    </w:p>
    <w:p>
      <w:r>
        <w:rPr>
          <w:b/>
        </w:rPr>
        <w:t xml:space="preserve">Date this document submitted to LCCMR: </w:t>
      </w:r>
      <w:r>
        <w:t>June 11, 2025</w:t>
      </w:r>
    </w:p>
    <w:p>
      <w:r>
        <w:rPr>
          <w:b/>
        </w:rPr>
        <w:t xml:space="preserve">Project Title: </w:t>
      </w:r>
      <w:r>
        <w:t>Highly Efficient Nutrient Removal Technology for Agricultural Drainage</w:t>
      </w:r>
    </w:p>
    <w:p>
      <w:r>
        <w:rPr>
          <w:b/>
        </w:rPr>
        <w:t xml:space="preserve">Project Budget: </w:t>
      </w:r>
      <w:r>
        <w:t>$453,000</w:t>
      </w:r>
    </w:p>
    <w:p/>
    <w:p>
      <w:pPr>
        <w:pStyle w:val="Heading2"/>
        <w:spacing w:before="0" w:after="80"/>
      </w:pPr>
      <w:r>
        <w:rPr>
          <w:b/>
          <w:color w:val="2C559C"/>
          <w:sz w:val="28"/>
        </w:rPr>
        <w:t>Project Manager Information</w:t>
      </w:r>
    </w:p>
    <w:p>
      <w:r>
        <w:rPr>
          <w:b/>
        </w:rPr>
        <w:t xml:space="preserve">Name: </w:t>
      </w:r>
      <w:r>
        <w:t>Satoshi Ishii</w:t>
      </w:r>
    </w:p>
    <w:p>
      <w:r>
        <w:rPr>
          <w:b/>
        </w:rPr>
        <w:t xml:space="preserve">Organization: </w:t>
      </w:r>
      <w:r>
        <w:t>U of MN - College of Biological Sciences</w:t>
      </w:r>
    </w:p>
    <w:p>
      <w:r>
        <w:rPr>
          <w:b/>
        </w:rPr>
        <w:t xml:space="preserve">Office Telephone: </w:t>
      </w:r>
      <w:r>
        <w:t>(612) 624-7902</w:t>
      </w:r>
    </w:p>
    <w:p>
      <w:r>
        <w:rPr>
          <w:b/>
        </w:rPr>
        <w:t xml:space="preserve">Email: </w:t>
      </w:r>
      <w:r>
        <w:t>ishi0040@umn.edu</w:t>
      </w:r>
    </w:p>
    <w:p>
      <w:r>
        <w:rPr>
          <w:b/>
        </w:rPr>
        <w:t xml:space="preserve">Web Address: </w:t>
      </w:r>
      <w:r>
        <w:t>https://cbs.umn.edu/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04o</w:t>
      </w:r>
    </w:p>
    <w:p>
      <w:r>
        <w:rPr>
          <w:b/>
        </w:rPr>
        <w:t xml:space="preserve">Appropriation Language: </w:t>
      </w:r>
      <w:r>
        <w:t xml:space="preserve">$453,000 the first year is from the trust fund to the Board of Regents of the University of Minnesota to conduct lab- and field-scale tests of a novel bioreactor technology for removing nutrients from agricultural drainage and disseminate results to farmers and the public.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apply our novel highly efficient nutrient removal technology for the treatment of agricultural drainage in the field.</w:t>
      </w:r>
    </w:p>
    <w:p>
      <w:pPr>
        <w:spacing w:after="60"/>
      </w:pPr>
      <w:r>
        <w:rPr>
          <w:b/>
        </w:rPr>
        <w:t>Describe the opportunity or problem your proposal seeks to address. Include any relevant background information.</w:t>
      </w:r>
    </w:p>
    <w:p>
      <w:r>
        <w:t>Nutrient pollution can cause eutrophication in rivers, lakes, and oceans. Nitrate/nitrite contamination in groundwater wells can also cause human diseases such as blue baby syndrome, and is, therefore, a serious public health concern as well. Agricultural drainage is one of the major non-point sources of nutrients to the environment. Efforts have been made to reduce nutrient production from agricultural drainage; however, the nutrient removal efficiency of the existing technologies such as woodchip bioreactors and constructed wetlands is not satisfactory, especially in early spring when water temperature is low and large quantities of water and nitrate are discharged into waterways. The emission of nitrous oxide (N2O), a potent greenhouse gas, from woodchip bioreactors and wetlands is also of concern.</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overall goal of this project is to improve water quality and mitigate global warming by removing nutrients, especially nitrate, from agricultural drainage with minimal emission of N2O. We will achieve this goal by applying our novel bioreactor technology, which uses corn cobs (a sustainable bioreactor medium), microbial immobilization technology, lignin-degrading microbes, and cold-adapted, nitrate and N2O-removing bacteria, to treat drainage in agricultural ditches.</w:t>
        <w:br/>
        <w:br/>
        <w:t>The specific objectives of this research are to (1) test laboratory-scale bacteria-coated corncob bioreactor with actual agricultural drainage, (2) install and operate field-scale bacteria-coated corncob bioreactors in agricultural drainage ditches, and (3) disseminate the results to farmers and the public.</w:t>
      </w:r>
    </w:p>
    <w:p>
      <w:pPr>
        <w:spacing w:after="60"/>
      </w:pPr>
      <w:r>
        <w:rPr>
          <w:b/>
        </w:rPr>
        <w:t xml:space="preserve">What are the specific project outcomes as they relate to the public purpose of protection, conservation, preservation, and enhancement of the state’s natural resources? </w:t>
      </w:r>
    </w:p>
    <w:p>
      <w:r>
        <w:t>The specific outcome of this project is the novel highly efficient bioreactors installed in ditches for the treatment of agricultural drainage. These bioreactors can be used to remove nitrate and other nutrients with minimal emission of N2O, thereby contributing to improving Minnesota's water quality and easing global warming. The same technology can be also applicable for the treatment of other non-point sources such as urban stormwater and septic leakages.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Test laboratory-scale bacteria-coated corncob bioreactor with actual agricultural drainage</w:t>
      </w:r>
    </w:p>
    <w:p>
      <w:r>
        <w:rPr>
          <w:b/>
        </w:rPr>
        <w:t xml:space="preserve">Activity Budget: </w:t>
      </w:r>
      <w:r>
        <w:t>$139,000</w:t>
      </w:r>
    </w:p>
    <w:p>
      <w:r>
        <w:rPr>
          <w:b/>
        </w:rPr>
        <w:t xml:space="preserve">Activity Description: </w:t>
        <w:br/>
      </w:r>
      <w:r>
        <w:t xml:space="preserve">The objective of this activity is to analyze the nitrate removal efficiency of laboratory-scale bacteria-coated corncob bioreactors fed with actual agricultural drainage. </w:t>
        <w:br/>
        <w:br/>
        <w:t xml:space="preserve">Task 1: We will design and operate laboratory-scale column reactors filled with bacteria-immobilized corn cobs. These bacteria were previously isolated from soil by the research team and characterized as being able to reduce nitrate and N2O to harmless N2 gas under cold conditions. We will also immobilize lignin-degrading microbes on the surface of corn cobs to provide more readily available carbon to the nitrate/N2O-removing bacteria. The reactors will be fed with agricultural drainage collected from the Southwest Research and Outreach Center (SWROC) and operated under field-simulated conditions. The nitrate and N2O concentrations of the effluent from the reactors will be measured over time. Based on these measurements, we will calculate nitrate removal and N2O emission rates. </w:t>
        <w:br/>
        <w:t xml:space="preserve">Deliverable 1: The laboratory-scale nitrate-removing corncob bioreactors and their nitrate removal and N2O emission rates. </w:t>
        <w:br/>
        <w:br/>
        <w:t>Task 2: We will operate the laboratory-scale bioreactors for &gt;2 months to examine the longer-term stability of the reactors. Corn cob samples will be periodically collected to analyze the amount of bacteria remaining on the corn cobs.</w:t>
        <w:br/>
        <w:t>Deliverable 2: The long-term bioreactor operation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Demonstrate high nutrient removal efficiency of the laboratory-scale nitrate-removing corncob bioreactors</w:t>
            </w:r>
          </w:p>
        </w:tc>
        <w:tc>
          <w:tcPr>
            <w:tcW w:type="dxa" w:w="2160"/>
          </w:tcPr>
          <w:p>
            <w:pPr>
              <w:jc w:val="right"/>
            </w:pPr>
            <w:r>
              <w:rPr>
                <w:sz w:val="20"/>
              </w:rPr>
              <w:t>December 31, 2025</w:t>
            </w:r>
          </w:p>
        </w:tc>
      </w:tr>
      <w:tr>
        <w:tc>
          <w:tcPr>
            <w:tcW w:type="dxa" w:w="8640"/>
          </w:tcPr>
          <w:p>
            <w:r>
              <w:rPr>
                <w:sz w:val="20"/>
              </w:rPr>
              <w:t>Long-term (&gt;2 months) stable operation of the bioreactors</w:t>
            </w:r>
          </w:p>
        </w:tc>
        <w:tc>
          <w:tcPr>
            <w:tcW w:type="dxa" w:w="2160"/>
          </w:tcPr>
          <w:p>
            <w:pPr>
              <w:jc w:val="right"/>
            </w:pPr>
            <w:r>
              <w:rPr>
                <w:sz w:val="20"/>
              </w:rPr>
              <w:t>June 30, 2026</w:t>
            </w:r>
          </w:p>
        </w:tc>
      </w:tr>
    </w:tbl>
    <w:p/>
    <w:p>
      <w:pPr>
        <w:pStyle w:val="Heading3"/>
        <w:spacing w:after="60"/>
      </w:pPr>
      <w:r>
        <w:rPr>
          <w:b/>
          <w:color w:val="254885"/>
          <w:sz w:val="26"/>
        </w:rPr>
        <w:t>Activity 2: Install and operate field-scale bacteria-coated corncob bioreactors in agricultural drainage ditches</w:t>
      </w:r>
    </w:p>
    <w:p>
      <w:r>
        <w:rPr>
          <w:b/>
        </w:rPr>
        <w:t xml:space="preserve">Activity Budget: </w:t>
      </w:r>
      <w:r>
        <w:t>$230,000</w:t>
      </w:r>
    </w:p>
    <w:p>
      <w:r>
        <w:rPr>
          <w:b/>
        </w:rPr>
        <w:t xml:space="preserve">Activity Description: </w:t>
        <w:br/>
      </w:r>
      <w:r>
        <w:t xml:space="preserve">This activity aims to examine the performance of our bacteria-coated corncob bioreactors in the field. </w:t>
        <w:br/>
        <w:br/>
        <w:t xml:space="preserve">Task 1: We will install bacteria-coated corncob bioreactors (n=6) in the agricultural ditches at the SWROC. The bioreactor influent and effluent samples will be collected over time for the analysis of nitrate. Various environmental parameters such as temperature, pH, redox potential, flow rate, chemical oxygen demand, etc., will be also measured. Corn cob samples will be periodically collected to analyze the amount of bacteria remaining on the corn cobs. The field testing will be done in spring and fall (2 months each) over two years (2026 and 2027). </w:t>
        <w:br/>
        <w:t>Deliverable 1: Nitrate removal data of the bioreactors installed in the field</w:t>
        <w:br/>
        <w:br/>
        <w:t xml:space="preserve">Task 2: We will statistically analyze the data collected in the field to identify the factors influencing nitrate removal. We will also try to construct a model to predict nitrate removal based on environmental parameters. This information is important and useful for designing and implementing field-scale bioreactors in other locations. </w:t>
        <w:br/>
        <w:t>Deliverable 2: Summary of statistics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Demonstrate high nutrient removal of the field-scale corncob bioreactors</w:t>
            </w:r>
          </w:p>
        </w:tc>
        <w:tc>
          <w:tcPr>
            <w:tcW w:type="dxa" w:w="2160"/>
          </w:tcPr>
          <w:p>
            <w:pPr>
              <w:jc w:val="right"/>
            </w:pPr>
            <w:r>
              <w:rPr>
                <w:sz w:val="20"/>
              </w:rPr>
              <w:t>December 31, 2027</w:t>
            </w:r>
          </w:p>
        </w:tc>
      </w:tr>
      <w:tr>
        <w:tc>
          <w:tcPr>
            <w:tcW w:type="dxa" w:w="8640"/>
          </w:tcPr>
          <w:p>
            <w:r>
              <w:rPr>
                <w:sz w:val="20"/>
              </w:rPr>
              <w:t>Identify the factors influencing nutrient removal efficiency of the field-scale bioreactors</w:t>
            </w:r>
          </w:p>
        </w:tc>
        <w:tc>
          <w:tcPr>
            <w:tcW w:type="dxa" w:w="2160"/>
          </w:tcPr>
          <w:p>
            <w:pPr>
              <w:jc w:val="right"/>
            </w:pPr>
            <w:r>
              <w:rPr>
                <w:sz w:val="20"/>
              </w:rPr>
              <w:t>June 30, 2028</w:t>
            </w:r>
          </w:p>
        </w:tc>
      </w:tr>
    </w:tbl>
    <w:p/>
    <w:p>
      <w:pPr>
        <w:pStyle w:val="Heading3"/>
        <w:spacing w:after="60"/>
      </w:pPr>
      <w:r>
        <w:rPr>
          <w:b/>
          <w:color w:val="254885"/>
          <w:sz w:val="26"/>
        </w:rPr>
        <w:t>Activity 3: Disseminate the results to farmers and the public</w:t>
      </w:r>
    </w:p>
    <w:p>
      <w:r>
        <w:rPr>
          <w:b/>
        </w:rPr>
        <w:t xml:space="preserve">Activity Budget: </w:t>
      </w:r>
      <w:r>
        <w:t>$84,000</w:t>
      </w:r>
    </w:p>
    <w:p>
      <w:r>
        <w:rPr>
          <w:b/>
        </w:rPr>
        <w:t xml:space="preserve">Activity Description: </w:t>
        <w:br/>
      </w:r>
      <w:r>
        <w:t xml:space="preserve">This activity aims to disseminate the results to farmers and the public. </w:t>
        <w:br/>
        <w:br/>
        <w:t xml:space="preserve">Task 1: We will reach out to farmers to disseminate our bioreactor technology and receive their feedback through U of M’s extension activities, such as webinars, blog posts, and field days. We will also conduct outreach activities to introduce our bioreactor technology to the public, including K-12 students, at various venues such as the Minnesota State Fair. </w:t>
        <w:br/>
        <w:t>Deliverable 1: Webinars, blog posts, field days, and other outreach events</w:t>
        <w:br/>
        <w:br/>
        <w:t>Task 2: We will present our results at the Minnesota Water Resources Conference. We will also produce scientific manuscripts in open-access journals.</w:t>
        <w:br/>
        <w:t>Deliverable 2: Presentations and publications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outreach activities</w:t>
            </w:r>
          </w:p>
        </w:tc>
        <w:tc>
          <w:tcPr>
            <w:tcW w:type="dxa" w:w="2160"/>
          </w:tcPr>
          <w:p>
            <w:pPr>
              <w:jc w:val="right"/>
            </w:pPr>
            <w:r>
              <w:rPr>
                <w:sz w:val="20"/>
              </w:rPr>
              <w:t>June 30, 2028</w:t>
            </w:r>
          </w:p>
        </w:tc>
      </w:tr>
      <w:tr>
        <w:tc>
          <w:tcPr>
            <w:tcW w:type="dxa" w:w="8640"/>
          </w:tcPr>
          <w:p>
            <w:r>
              <w:rPr>
                <w:sz w:val="20"/>
              </w:rPr>
              <w:t>Publications and presentations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Paige Novak</w:t>
            </w:r>
          </w:p>
        </w:tc>
        <w:tc>
          <w:tcPr>
            <w:tcW w:type="dxa" w:w="1440"/>
          </w:tcPr>
          <w:p>
            <w:r>
              <w:rPr>
                <w:sz w:val="20"/>
              </w:rPr>
              <w:t>University of Minnesota</w:t>
            </w:r>
          </w:p>
        </w:tc>
        <w:tc>
          <w:tcPr>
            <w:tcW w:type="dxa" w:w="6840"/>
          </w:tcPr>
          <w:p>
            <w:r>
              <w:rPr>
                <w:sz w:val="20"/>
              </w:rPr>
              <w:t>Co-Investigator</w:t>
            </w:r>
          </w:p>
        </w:tc>
        <w:tc>
          <w:tcPr>
            <w:tcW w:type="dxa" w:w="1080"/>
          </w:tcPr>
          <w:p>
            <w:r>
              <w:rPr>
                <w:sz w:val="20"/>
              </w:rPr>
              <w:t>Yes</w:t>
            </w:r>
          </w:p>
        </w:tc>
      </w:tr>
      <w:tr>
        <w:tc>
          <w:tcPr>
            <w:tcW w:type="dxa" w:w="1440"/>
          </w:tcPr>
          <w:p>
            <w:r>
              <w:rPr>
                <w:sz w:val="20"/>
              </w:rPr>
              <w:t>Jeffery Strock</w:t>
            </w:r>
          </w:p>
        </w:tc>
        <w:tc>
          <w:tcPr>
            <w:tcW w:type="dxa" w:w="1440"/>
          </w:tcPr>
          <w:p>
            <w:r>
              <w:rPr>
                <w:sz w:val="20"/>
              </w:rPr>
              <w:t>University of Minnesota</w:t>
            </w:r>
          </w:p>
        </w:tc>
        <w:tc>
          <w:tcPr>
            <w:tcW w:type="dxa" w:w="6840"/>
          </w:tcPr>
          <w:p>
            <w:r>
              <w:rPr>
                <w:sz w:val="20"/>
              </w:rPr>
              <w:t>Co-Investigator</w:t>
            </w:r>
          </w:p>
        </w:tc>
        <w:tc>
          <w:tcPr>
            <w:tcW w:type="dxa" w:w="1080"/>
          </w:tcPr>
          <w:p>
            <w:r>
              <w:rPr>
                <w:sz w:val="20"/>
              </w:rPr>
              <w:t>Yes</w:t>
            </w:r>
          </w:p>
        </w:tc>
      </w:tr>
      <w:tr>
        <w:tc>
          <w:tcPr>
            <w:tcW w:type="dxa" w:w="1440"/>
          </w:tcPr>
          <w:p>
            <w:r>
              <w:rPr>
                <w:sz w:val="20"/>
              </w:rPr>
              <w:t>Nigel Pickering</w:t>
            </w:r>
          </w:p>
        </w:tc>
        <w:tc>
          <w:tcPr>
            <w:tcW w:type="dxa" w:w="1440"/>
          </w:tcPr>
          <w:p>
            <w:r>
              <w:rPr>
                <w:sz w:val="20"/>
              </w:rPr>
              <w:t>Geosyntec Consultants</w:t>
            </w:r>
          </w:p>
        </w:tc>
        <w:tc>
          <w:tcPr>
            <w:tcW w:type="dxa" w:w="6840"/>
          </w:tcPr>
          <w:p>
            <w:r>
              <w:rPr>
                <w:sz w:val="20"/>
              </w:rPr>
              <w:t>Co-Investigator</w:t>
            </w:r>
          </w:p>
        </w:tc>
        <w:tc>
          <w:tcPr>
            <w:tcW w:type="dxa" w:w="1080"/>
          </w:tcPr>
          <w:p>
            <w:r>
              <w:rPr>
                <w:sz w:val="20"/>
              </w:rPr>
              <w:t>Yes</w:t>
            </w:r>
          </w:p>
        </w:tc>
      </w:tr>
      <w:tr>
        <w:tc>
          <w:tcPr>
            <w:tcW w:type="dxa" w:w="1440"/>
          </w:tcPr>
          <w:p>
            <w:r>
              <w:rPr>
                <w:sz w:val="20"/>
              </w:rPr>
              <w:t>Laura Christianson</w:t>
            </w:r>
          </w:p>
        </w:tc>
        <w:tc>
          <w:tcPr>
            <w:tcW w:type="dxa" w:w="1440"/>
          </w:tcPr>
          <w:p>
            <w:r>
              <w:rPr>
                <w:sz w:val="20"/>
              </w:rPr>
              <w:t>University of Illinois</w:t>
            </w:r>
          </w:p>
        </w:tc>
        <w:tc>
          <w:tcPr>
            <w:tcW w:type="dxa" w:w="6840"/>
          </w:tcPr>
          <w:p>
            <w:r>
              <w:rPr>
                <w:sz w:val="20"/>
              </w:rPr>
              <w:t>Collaborator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We will reach out to farmers to disseminate our bioreactor technology and receive their feedback through U of M’s extension activities, such as webinars, blog posts, and field days. We will also conduct outreach activities to introduce our bioreactor technology to the public, including K-12 students, at various venues such as the Minnesota State Fair. </w:t>
        <w:br/>
        <w:br/>
        <w:t>In addition, we will present our results at the Minnesota Water Resources Conference and produce scientific manuscripts in open-access journals. Environment and Natural Resources Trust Fund will be acknowledged in the publications, presentations, and other media per the ENTRF Acknowledgment Guidelines. The ENTRF logos and signage will appear on the bioreactors in the lab and field settings.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includes a field demonstration of our technology. We will invite farmers, industries, agencies, and other interested parties to the field sites to show our technology. ﻿The results will be disseminated to the public through open-access publications and conference presentations. If additional work is needed, funding from federal sources will be sought.</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Satoshi Ishii</w:t>
            </w:r>
          </w:p>
        </w:tc>
        <w:tc>
          <w:tcPr>
            <w:tcW w:type="dxa" w:w="1440"/>
          </w:tcPr>
          <w:p>
            <w:r>
              <w:rPr>
                <w:sz w:val="20"/>
              </w:rPr>
            </w:r>
          </w:p>
        </w:tc>
        <w:tc>
          <w:tcPr>
            <w:tcW w:type="dxa" w:w="5472"/>
          </w:tcPr>
          <w:p>
            <w:r>
              <w:rPr>
                <w:sz w:val="20"/>
              </w:rPr>
              <w:t>Lead and manage the project</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$52,803</w:t>
            </w:r>
          </w:p>
        </w:tc>
      </w:tr>
      <w:tr>
        <w:tc>
          <w:tcPr>
            <w:tcW w:type="dxa" w:w="864"/>
          </w:tcPr>
          <w:p>
            <w:r>
              <w:rPr>
                <w:sz w:val="20"/>
              </w:rPr>
              <w:t>Paige Novak</w:t>
            </w:r>
          </w:p>
        </w:tc>
        <w:tc>
          <w:tcPr>
            <w:tcW w:type="dxa" w:w="1440"/>
          </w:tcPr>
          <w:p>
            <w:r>
              <w:rPr>
                <w:sz w:val="20"/>
              </w:rPr>
            </w:r>
          </w:p>
        </w:tc>
        <w:tc>
          <w:tcPr>
            <w:tcW w:type="dxa" w:w="5472"/>
          </w:tcPr>
          <w:p>
            <w:r>
              <w:rPr>
                <w:sz w:val="20"/>
              </w:rPr>
              <w:t>Advise/supervise researchers</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$43,475</w:t>
            </w:r>
          </w:p>
        </w:tc>
      </w:tr>
      <w:tr>
        <w:tc>
          <w:tcPr>
            <w:tcW w:type="dxa" w:w="864"/>
          </w:tcPr>
          <w:p>
            <w:r>
              <w:rPr>
                <w:sz w:val="20"/>
              </w:rPr>
              <w:t>Jeffery Strock</w:t>
            </w:r>
          </w:p>
        </w:tc>
        <w:tc>
          <w:tcPr>
            <w:tcW w:type="dxa" w:w="1440"/>
          </w:tcPr>
          <w:p>
            <w:r>
              <w:rPr>
                <w:sz w:val="20"/>
              </w:rPr>
            </w:r>
          </w:p>
        </w:tc>
        <w:tc>
          <w:tcPr>
            <w:tcW w:type="dxa" w:w="5472"/>
          </w:tcPr>
          <w:p>
            <w:r>
              <w:rPr>
                <w:sz w:val="20"/>
              </w:rPr>
              <w:t>Manage fieldwork</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$15,130</w:t>
            </w:r>
          </w:p>
        </w:tc>
      </w:tr>
      <w:tr>
        <w:tc>
          <w:tcPr>
            <w:tcW w:type="dxa" w:w="864"/>
          </w:tcPr>
          <w:p>
            <w:r>
              <w:rPr>
                <w:sz w:val="20"/>
              </w:rPr>
              <w:t>1 Postdoctoral research associate</w:t>
            </w:r>
          </w:p>
        </w:tc>
        <w:tc>
          <w:tcPr>
            <w:tcW w:type="dxa" w:w="1440"/>
          </w:tcPr>
          <w:p>
            <w:r>
              <w:rPr>
                <w:sz w:val="20"/>
              </w:rPr>
            </w:r>
          </w:p>
        </w:tc>
        <w:tc>
          <w:tcPr>
            <w:tcW w:type="dxa" w:w="5472"/>
          </w:tcPr>
          <w:p>
            <w:r>
              <w:rPr>
                <w:sz w:val="20"/>
              </w:rPr>
              <w:t>Perform experiments and data analysis</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$225,163</w:t>
            </w:r>
          </w:p>
        </w:tc>
      </w:tr>
      <w:tr>
        <w:tc>
          <w:tcPr>
            <w:tcW w:type="dxa" w:w="864"/>
          </w:tcPr>
          <w:p>
            <w:r>
              <w:rPr>
                <w:sz w:val="20"/>
              </w:rPr>
              <w:t>2 Field crews</w:t>
            </w:r>
          </w:p>
        </w:tc>
        <w:tc>
          <w:tcPr>
            <w:tcW w:type="dxa" w:w="1440"/>
          </w:tcPr>
          <w:p>
            <w:r>
              <w:rPr>
                <w:sz w:val="20"/>
              </w:rPr>
            </w:r>
          </w:p>
        </w:tc>
        <w:tc>
          <w:tcPr>
            <w:tcW w:type="dxa" w:w="5472"/>
          </w:tcPr>
          <w:p>
            <w:r>
              <w:rPr>
                <w:sz w:val="20"/>
              </w:rPr>
              <w:t>Collect water samples from the field</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$33,629</w:t>
            </w:r>
          </w:p>
        </w:tc>
      </w:tr>
      <w:tr>
        <w:tc>
          <w:tcPr>
            <w:tcW w:type="dxa" w:w="864"/>
          </w:tcPr>
          <w:p>
            <w:r>
              <w:rPr>
                <w:sz w:val="20"/>
              </w:rPr>
              <w:t>2 Undergraduate researchers</w:t>
            </w:r>
          </w:p>
        </w:tc>
        <w:tc>
          <w:tcPr>
            <w:tcW w:type="dxa" w:w="1440"/>
          </w:tcPr>
          <w:p>
            <w:r>
              <w:rPr>
                <w:sz w:val="20"/>
              </w:rPr>
            </w:r>
          </w:p>
        </w:tc>
        <w:tc>
          <w:tcPr>
            <w:tcW w:type="dxa" w:w="5472"/>
          </w:tcPr>
          <w:p>
            <w:r>
              <w:rPr>
                <w:sz w:val="20"/>
              </w:rPr>
              <w:t>Collect water samples and analyze data</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0.66</w:t>
            </w:r>
          </w:p>
        </w:tc>
        <w:tc>
          <w:tcPr>
            <w:tcW w:type="dxa" w:w="360"/>
          </w:tcPr>
          <w:p>
            <w:r>
              <w:rPr>
                <w:sz w:val="20"/>
              </w:rPr>
            </w:r>
          </w:p>
        </w:tc>
        <w:tc>
          <w:tcPr>
            <w:tcW w:type="dxa" w:w="1152"/>
          </w:tcPr>
          <w:p>
            <w:pPr>
              <w:jc w:val="right"/>
            </w:pPr>
            <w:r>
              <w:rPr>
                <w:sz w:val="20"/>
              </w:rPr>
              <w:t>$21,800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$392,000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Nigel Pickering (Geosyntec Consultants)</w:t>
            </w:r>
          </w:p>
        </w:tc>
        <w:tc>
          <w:tcPr>
            <w:tcW w:type="dxa" w:w="1440"/>
          </w:tcPr>
          <w:p>
            <w:r>
              <w:rPr>
                <w:sz w:val="20"/>
              </w:rPr>
              <w:t>Service Contract</w:t>
            </w:r>
          </w:p>
        </w:tc>
        <w:tc>
          <w:tcPr>
            <w:tcW w:type="dxa" w:w="5472"/>
          </w:tcPr>
          <w:p>
            <w:r>
              <w:rPr>
                <w:sz w:val="20"/>
              </w:rPr>
              <w:t>Technical advice on bioreactor design and operation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0.03</w:t>
            </w:r>
          </w:p>
        </w:tc>
        <w:tc>
          <w:tcPr>
            <w:tcW w:type="dxa" w:w="360"/>
          </w:tcPr>
          <w:p>
            <w:r>
              <w:rPr>
                <w:sz w:val="20"/>
              </w:rPr>
            </w:r>
          </w:p>
        </w:tc>
        <w:tc>
          <w:tcPr>
            <w:tcW w:type="dxa" w:w="1152"/>
          </w:tcPr>
          <w:p>
            <w:pPr>
              <w:jc w:val="right"/>
            </w:pPr>
            <w:r>
              <w:rPr>
                <w:sz w:val="20"/>
              </w:rPr>
              <w:t>$10,000</w:t>
            </w:r>
          </w:p>
        </w:tc>
      </w:tr>
      <w:tr>
        <w:tc>
          <w:tcPr>
            <w:tcW w:type="dxa" w:w="864"/>
          </w:tcPr>
          <w:p>
            <w:r>
              <w:rPr>
                <w:sz w:val="20"/>
              </w:rPr>
              <w:t>University of Minnesota Genomics Center (UMGC)</w:t>
            </w:r>
          </w:p>
        </w:tc>
        <w:tc>
          <w:tcPr>
            <w:tcW w:type="dxa" w:w="1440"/>
          </w:tcPr>
          <w:p>
            <w:r>
              <w:rPr>
                <w:sz w:val="20"/>
              </w:rPr>
              <w:t>Internal services or fees (uncommon)</w:t>
            </w:r>
          </w:p>
        </w:tc>
        <w:tc>
          <w:tcPr>
            <w:tcW w:type="dxa" w:w="5472"/>
          </w:tcPr>
          <w:p>
            <w:r>
              <w:rPr>
                <w:sz w:val="20"/>
              </w:rPr>
              <w:t>UMGC will provide the DNA sequencing service for the analysis of microbial communities on the corn cob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$3,000</w:t>
            </w:r>
          </w:p>
        </w:tc>
      </w:tr>
      <w:tr>
        <w:tc>
          <w:tcPr>
            <w:tcW w:type="dxa" w:w="864"/>
          </w:tcPr>
          <w:p>
            <w:r>
              <w:rPr>
                <w:sz w:val="20"/>
              </w:rPr>
              <w:t>University of Minnesota Biotechnology Resource Center (BRC)</w:t>
            </w:r>
          </w:p>
        </w:tc>
        <w:tc>
          <w:tcPr>
            <w:tcW w:type="dxa" w:w="1440"/>
          </w:tcPr>
          <w:p>
            <w:r>
              <w:rPr>
                <w:sz w:val="20"/>
              </w:rPr>
              <w:t>Internal services or fees (uncommon)</w:t>
            </w:r>
          </w:p>
        </w:tc>
        <w:tc>
          <w:tcPr>
            <w:tcW w:type="dxa" w:w="5472"/>
          </w:tcPr>
          <w:p>
            <w:r>
              <w:rPr>
                <w:sz w:val="20"/>
              </w:rPr>
              <w:t>BRC will produce large volumes of bacterial cells to coat corn cobs.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Materials for reactor construction</w:t>
            </w:r>
          </w:p>
        </w:tc>
        <w:tc>
          <w:tcPr>
            <w:tcW w:type="dxa" w:w="4032"/>
          </w:tcPr>
          <w:p>
            <w:r>
              <w:rPr>
                <w:sz w:val="20"/>
              </w:rPr>
              <w:t>Pumps, reactors, and corn cobs necessary to constuct laboratory and field-scale bioreactors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$6,500</w:t>
            </w:r>
          </w:p>
        </w:tc>
      </w:tr>
      <w:tr>
        <w:tc>
          <w:tcPr>
            <w:tcW w:type="dxa" w:w="864"/>
          </w:tcPr>
          <w:p>
            <w:r>
              <w:rPr>
                <w:sz w:val="20"/>
              </w:rPr>
            </w:r>
          </w:p>
        </w:tc>
        <w:tc>
          <w:tcPr>
            <w:tcW w:type="dxa" w:w="1440"/>
          </w:tcPr>
          <w:p>
            <w:r>
              <w:rPr>
                <w:sz w:val="20"/>
              </w:rPr>
              <w:t>Tools and Supplies</w:t>
            </w:r>
          </w:p>
        </w:tc>
        <w:tc>
          <w:tcPr>
            <w:tcW w:type="dxa" w:w="5472"/>
          </w:tcPr>
          <w:p>
            <w:r>
              <w:rPr>
                <w:sz w:val="20"/>
              </w:rPr>
              <w:t>Chemicals for water quality analysis</w:t>
            </w:r>
          </w:p>
        </w:tc>
        <w:tc>
          <w:tcPr>
            <w:tcW w:type="dxa" w:w="4032"/>
          </w:tcPr>
          <w:p>
            <w:r>
              <w:rPr>
                <w:sz w:val="20"/>
              </w:rPr>
              <w:t>Necessary to measure nitrate and N2O concentrations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t>Tools and Supplies</w:t>
            </w:r>
          </w:p>
        </w:tc>
        <w:tc>
          <w:tcPr>
            <w:tcW w:type="dxa" w:w="5472"/>
          </w:tcPr>
          <w:p>
            <w:r>
              <w:rPr>
                <w:sz w:val="20"/>
              </w:rPr>
              <w:t>Chemicals and laboratory supplies for microbiological analysis</w:t>
            </w:r>
          </w:p>
        </w:tc>
        <w:tc>
          <w:tcPr>
            <w:tcW w:type="dxa" w:w="4032"/>
          </w:tcPr>
          <w:p>
            <w:r>
              <w:rPr>
                <w:sz w:val="20"/>
              </w:rPr>
              <w:t>Necessary to grow bacteria and quantify their abundance (culture media, petri dishes, pipette tips,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w:t>
            </w:r>
          </w:p>
        </w:tc>
      </w:tr>
      <w:tr>
        <w:tc>
          <w:tcPr>
            <w:tcW w:type="dxa" w:w="864"/>
          </w:tcPr>
          <w:p>
            <w:r>
              <w:rPr>
                <w:sz w:val="20"/>
              </w:rPr>
            </w:r>
          </w:p>
        </w:tc>
        <w:tc>
          <w:tcPr>
            <w:tcW w:type="dxa" w:w="1440"/>
          </w:tcPr>
          <w:p>
            <w:r>
              <w:rPr>
                <w:sz w:val="20"/>
              </w:rPr>
              <w:t>Tools and Supplies</w:t>
            </w:r>
          </w:p>
        </w:tc>
        <w:tc>
          <w:tcPr>
            <w:tcW w:type="dxa" w:w="5472"/>
          </w:tcPr>
          <w:p>
            <w:r>
              <w:rPr>
                <w:sz w:val="20"/>
              </w:rPr>
              <w:t>Field supplies and consumables</w:t>
            </w:r>
          </w:p>
        </w:tc>
        <w:tc>
          <w:tcPr>
            <w:tcW w:type="dxa" w:w="4032"/>
          </w:tcPr>
          <w:p>
            <w:r>
              <w:rPr>
                <w:sz w:val="20"/>
              </w:rPr>
              <w:t>Various supplies and consumables are needed to collect and process samples (chemicals, glassware, plastic consumables,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 total of 17 trips (~5,100 miles) are planned (~300 miles/trip to visit SWROC from the University of Minnesota St. Paul campus at a rate of $0.67/mile.</w:t>
            </w:r>
          </w:p>
        </w:tc>
        <w:tc>
          <w:tcPr>
            <w:tcW w:type="dxa" w:w="4032"/>
          </w:tcPr>
          <w:p>
            <w:r>
              <w:rPr>
                <w:sz w:val="20"/>
              </w:rPr>
              <w:t>Necessary to collect samples from the field site at SWROC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Trips and registration fees to present our research results at a conference in MN ($300/person x 2 researchers)</w:t>
            </w:r>
          </w:p>
        </w:tc>
        <w:tc>
          <w:tcPr>
            <w:tcW w:type="dxa" w:w="4032"/>
          </w:tcPr>
          <w:p>
            <w:r>
              <w:rPr>
                <w:sz w:val="20"/>
              </w:rPr>
              <w:t>To disseminate the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publication fee</w:t>
            </w:r>
          </w:p>
        </w:tc>
        <w:tc>
          <w:tcPr>
            <w:tcW w:type="dxa" w:w="4032"/>
          </w:tcPr>
          <w:p>
            <w:r>
              <w:rPr>
                <w:sz w:val="20"/>
              </w:rPr>
              <w:t>Necessary to make our results publicly available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$453,000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The University of Minnesota is not allowed to charge the State of Minnesota its typical overhead rate of 55% of the total modified direct costs. We are listing our unrecoverable indirect cost as in-kind contribution.</w:t>
            </w:r>
          </w:p>
        </w:tc>
        <w:tc>
          <w:tcPr>
            <w:tcW w:type="dxa" w:w="1080"/>
          </w:tcPr>
          <w:p>
            <w:r>
              <w:rPr>
                <w:sz w:val="20"/>
              </w:rPr>
              <w:t>Secured</w:t>
            </w:r>
          </w:p>
        </w:tc>
        <w:tc>
          <w:tcPr>
            <w:tcW w:type="dxa" w:w="1440"/>
          </w:tcPr>
          <w:p>
            <w:pPr>
              <w:jc w:val="right"/>
            </w:pPr>
            <w:r>
              <w:rPr>
                <w:sz w:val="20"/>
              </w:rPr>
              <w:t>$249,150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$249,150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$249,150</w:t>
            </w:r>
          </w:p>
        </w:tc>
      </w:tr>
    </w:tbl>
    <w:p/>
    <w:p>
      <w:r>
        <w:rPr>
          <w:b/>
        </w:rPr>
        <w:t>Total Project Cost: $702,150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d4853bbe-8b5.pdf</w:t>
          </w:r>
        </w:hyperlink>
      </w:r>
    </w:p>
    <w:p>
      <w:pPr>
        <w:pStyle w:val="Heading4"/>
        <w:spacing w:before="40" w:after="20"/>
      </w:pPr>
      <w:r>
        <w:rPr>
          <w:b/>
          <w:i/>
          <w:color w:val="000000"/>
          <w:sz w:val="24"/>
        </w:rPr>
        <w:t>Alternate Text for Visual Component</w:t>
      </w:r>
    </w:p>
    <w:p>
      <w:r>
        <w:t>Special bacteria immobilized on the surface of corn cobs break down nitrate into harmless N2 gas under cold conditions....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Authorization letter from the U of M SPA</w:t>
            </w:r>
          </w:p>
        </w:tc>
        <w:tc>
          <w:tcPr>
            <w:tcW w:type="dxa" w:w="5400"/>
          </w:tcPr>
          <w:p>
            <w:r>
              <w:rPr>
                <w:sz w:val="20"/>
              </w:rPr>
            </w:r>
            <w:r>
              <w:rPr>
                <w:color w:val="000000" w:themeColor="hyperlink"/>
                <w:sz w:val="20"/>
                <w:u w:val="single"/>
              </w:rPr>
              <w:hyperlink r:id="rId13">
                <w:r>
                  <w:rPr/>
                  <w:t>5d95635b-023.pdf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Contact information for the organization's fiscal agent (U of M SPA) has been updated (Project Collaborators section).</w:t>
        <w:br/>
        <w:t>- Our 2024 LCCMR project has been added to the Other ENRTF Appropriations Awarded section (General Information section).</w:t>
        <w:br/>
        <w:t xml:space="preserve">- The budget has been revised to meet the approved amount (the FTE of the undergraduate researchers has decreased slightly). </w:t>
        <w:br/>
        <w:t>- We have added a description in the Dissemination section.</w:t>
        <w:br/>
        <w:br/>
        <w:t>The following changes were made on 2/4/2025, according to the revision requests from LCCMR</w:t>
        <w:br/>
        <w:t>- General information page: "Does your project include original, hypothesis-driven research?" --&gt; "No" was selected.</w:t>
        <w:br/>
        <w:t xml:space="preserve">- Budget page: More detailed information for the expense for "Microbiological analysis" has been added. </w:t>
        <w:br/>
        <w:t>- Budget page: The expenses for UMN Genomics Center and the UMN BioTechnology Resource Center have been moved from "others" to "services and subawards."</w:t>
        <w:br/>
        <w:t>- Dissemination section: Statements on how the ENRTF will be properly attributed per the acknowledgement guidelines have been added.</w:t>
        <w:br/>
        <w:br/>
        <w:t>The following changes were made on 6/11/2025, according to the revision requests from LCCMR</w:t>
        <w:br/>
        <w:t xml:space="preserve">- The project manager's contact information on the Project Collaborators page (Tab 2) has been reviewed and confirmed correct. The title of the project manager has been updated from "Associate Professor" to "Professor". </w:t>
        <w:br/>
        <w:t xml:space="preserve">- The affiliation of one of the project partners (Laura Christianson) has been updated (from the University of Minnesota to the University of Illinois). She won't receive funds, so this change does not influence the project budget.  </w:t>
        <w:br/>
        <w:t xml:space="preserve">- The appropriation language shown at the bottom of Tab 4 (Narrative) was reviewed and confirmed appropriate. </w:t>
        <w:br/>
        <w:t>-  The project completion date and the appropriation end date shown on Tab 4 (Narrative) have been confirmed correct.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d4853bbe-8b5.pdf" TargetMode="External"/><Relationship Id="rId13" Type="http://schemas.openxmlformats.org/officeDocument/2006/relationships/hyperlink" Target="https://lccmrprojectmgmt.leg.mn/media/attachments/5d95635b-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Highly Efficient Nutrient Removal Technology for Agricultural Drainage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