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2025-110</w:t>
      </w:r>
    </w:p>
    <w:p>
      <w:r>
        <w:rPr>
          <w:b/>
        </w:rPr>
        <w:t xml:space="preserve">Staff Lead: </w:t>
      </w:r>
      <w:r>
        <w:t>Tom Dietrich</w:t>
      </w:r>
    </w:p>
    <w:p>
      <w:r>
        <w:rPr>
          <w:b/>
        </w:rPr>
        <w:t xml:space="preserve">Date this document submitted to LCCMR: </w:t>
      </w:r>
      <w:r>
        <w:t>June 11, 2025</w:t>
      </w:r>
    </w:p>
    <w:p>
      <w:r>
        <w:rPr>
          <w:b/>
        </w:rPr>
        <w:t xml:space="preserve">Project Title: </w:t>
      </w:r>
      <w:r>
        <w:t>Predicting Contaminant Movement in Minnesota’s Fractured Aquifers</w:t>
      </w:r>
    </w:p>
    <w:p>
      <w:r>
        <w:rPr>
          <w:b/>
        </w:rPr>
        <w:t xml:space="preserve">Project Budget: </w:t>
      </w:r>
      <w:r>
        <w:t>$650,000</w:t>
      </w:r>
    </w:p>
    <w:p/>
    <w:p>
      <w:pPr>
        <w:pStyle w:val="Heading2"/>
        <w:spacing w:before="0" w:after="80"/>
      </w:pPr>
      <w:r>
        <w:rPr>
          <w:b/>
          <w:color w:val="2C559C"/>
          <w:sz w:val="28"/>
        </w:rPr>
        <w:t>Project Manager Information</w:t>
      </w:r>
    </w:p>
    <w:p>
      <w:r>
        <w:rPr>
          <w:b/>
        </w:rPr>
        <w:t xml:space="preserve">Name: </w:t>
      </w:r>
      <w:r>
        <w:t>Peter Kang</w:t>
      </w:r>
    </w:p>
    <w:p>
      <w:r>
        <w:rPr>
          <w:b/>
        </w:rPr>
        <w:t xml:space="preserve">Organization: </w:t>
      </w:r>
      <w:r>
        <w:t>U of MN - St. Anthony Falls Laboratory</w:t>
      </w:r>
    </w:p>
    <w:p>
      <w:r>
        <w:rPr>
          <w:b/>
        </w:rPr>
        <w:t xml:space="preserve">Office Telephone: </w:t>
      </w:r>
      <w:r>
        <w:t>(612) 624-5779</w:t>
      </w:r>
    </w:p>
    <w:p>
      <w:r>
        <w:rPr>
          <w:b/>
        </w:rPr>
        <w:t xml:space="preserve">Email: </w:t>
      </w:r>
      <w:r>
        <w:t>pkkang@umn.edu</w:t>
      </w:r>
    </w:p>
    <w:p>
      <w:r>
        <w:rPr>
          <w:b/>
        </w:rPr>
        <w:t xml:space="preserve">Web Address: </w:t>
      </w:r>
      <w:r>
        <w:t>https://www.safl.umn.edu/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04i</w:t>
      </w:r>
    </w:p>
    <w:p>
      <w:r>
        <w:rPr>
          <w:b/>
        </w:rPr>
        <w:t xml:space="preserve">Appropriation Language: </w:t>
      </w:r>
      <w:r>
        <w:t xml:space="preserve">$650,000 the first year is from the trust fund to the Board of Regents of the University of Minnesota, St. Anthony Falls Laboratory, to develop a software program that predicts the fate and movement of contaminants, such as PFAS, chloride, nitrate, and pathogens, in Minnesota's fractured aquifers.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develop and demonstrate a software program that predicts the fate and movement of contaminants such as PFAS, chloride, nitrate, and pathogens in Minnesota’s fractured aquifers.</w:t>
      </w:r>
    </w:p>
    <w:p>
      <w:pPr>
        <w:spacing w:after="60"/>
      </w:pPr>
      <w:r>
        <w:rPr>
          <w:b/>
        </w:rPr>
        <w:t>Describe the opportunity or problem your proposal seeks to address. Include any relevant background information.</w:t>
      </w:r>
    </w:p>
    <w:p>
      <w:r>
        <w:t>Groundwater supplies about 80% of Minnesotans’ drinking water and is critically important for irrigation. However, Minnesota is experiencing serious groundwater problems due to a dramatic increase in water demand and pervasive contamination issues. In particular, groundwater contamination due to nitrate, PFAS, and pathogens poses a significant risk to public health and the environment. Conventional groundwater models over-simplify fracture flow, and as a result, often fail to accurately predict contaminant transport. The recent $850 million settlement between the state of Minnesota and the 3M Company over PFAS contamination is a representative example: the recently documented extent of the PFAS contamination plume in the eastern Twin Cities area is far greater than that predicted by conventional models. This was because high permeability fractures allowed contaminants to spread much faster than was expected. Groundwater systems are often composed of fractured rocks (rocks with cracks and other large cavities), and fractured aquifers in the Twin Cities area serve over one-half of the drinking water for its 3 million citizens. Accordingly, there is an urgent need for practical software that can more accurately forecast the movement of contaminants in fractured aquifers.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Our goal is to develop a practical software program that can predict contaminant transport in Minnesota's fractured aquifers. Using the software, users can predict the travel time of contaminants in aquifers by entering several inputs (e.g., groundwater level, fractured rock type, tracer data). The software will be validated at two field sites and packaged so that state agencies and groundwater consulting companies can use it (see support letters). For example, the software will allow one to better evaluate the efficacy of improved agriculture practices on groundwater quality. The project focuses on two fractured limestone rock formations: the Platteville Formation, which is critical to the Twin Cities, and the Prosser and Cummingsville Formations, which are critical to the southeast Minnesota region. We will conduct field dye tracing and cutting-edge hydraulic testing to gather necessary site-specific data, building upon fracture flow properties accumulated from previous Environmental Trust Fund projects. This information will guide the development of three-dimensional numerical models. Finally, the modeling results will be used to develop the software program that predicts contaminant travel time. Note that the software will be applicable to sites beyond the proposed field sites, but it will still require the identification of site-specific parameters.</w:t>
      </w:r>
    </w:p>
    <w:p>
      <w:pPr>
        <w:spacing w:after="60"/>
      </w:pPr>
      <w:r>
        <w:rPr>
          <w:b/>
        </w:rPr>
        <w:t xml:space="preserve">What are the specific project outcomes as they relate to the public purpose of protection, conservation, preservation, and enhancement of the state’s natural resources? </w:t>
      </w:r>
    </w:p>
    <w:p>
      <w:r>
        <w:t>The project will improve the prediction of contaminant migration through fractured aquifers, which is essential for protecting, remediating, and managing the state's water resources. Particularly, the project will generate hydrogeologic information necessary to understand how contaminants move through fractured rock formations. Among the major outcomes of the project will be a software program that can be run on standard computers. The software will enable predictions of the travel time distribution of contaminants, thereby providing water resource managers with critical information and making results more accessible to the public. In addition, the project will strengthen the hydrogeology curriculum at UMN.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Olmsted</w:t>
      </w:r>
      <w:r>
        <w:t xml:space="preserve">, </w:t>
      </w:r>
      <w:r>
        <w:t>Hennepin</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Characterizing fracture flow and contaminant transport properties of the Platteville formation</w:t>
      </w:r>
    </w:p>
    <w:p>
      <w:r>
        <w:rPr>
          <w:b/>
        </w:rPr>
        <w:t xml:space="preserve">Activity Budget: </w:t>
      </w:r>
      <w:r>
        <w:t>$233,976</w:t>
      </w:r>
    </w:p>
    <w:p>
      <w:r>
        <w:rPr>
          <w:b/>
        </w:rPr>
        <w:t xml:space="preserve">Activity Description: </w:t>
        <w:br/>
      </w:r>
      <w:r>
        <w:t>The main goal of Activity 1 is to characterize the hydrogeologic properties of the Platteville Formation at a level of detail necessary for the development of the numerical model described in Activity 3. First, existing information on the hydrogeologic properties of the Platteville Formation from previous Environmental Trust Fund projects and other past investigations will be collected and synthesized. Additional field experiments will be conducted at a fractured Platteville site at the UMN campus. For fractured aquifers, recent scientific advances show that it is essential to measure hydrogeologic properties from discrete zones in wells rather than traditional whole-well measurements. Modular hydraulic packer-and-port systems (MHPS) will be utilized to obtain hydrogeologic data from discrete zones in wells using advanced sensors like fiber optics. The developer of the MHPS system (Prof. Warren Barrash) will support the field campaigns and the technology transfer. The site has ideal conditions for both teaching and research: groundwater at the site is contaminated with hydrocarbons, and multiple consulting reports with extensive hydrogeologic information are available, along with many monitoring wells. Fractured rock exposures are not only accessible at a nearby river bluff but also in an underground cavern where contaminated groundwater leaks through fractures in the ceiling.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Get input from water state agencies and groundwater managers to align research to their needs.</w:t>
            </w:r>
          </w:p>
        </w:tc>
        <w:tc>
          <w:tcPr>
            <w:tcW w:type="dxa" w:w="2160"/>
          </w:tcPr>
          <w:p>
            <w:pPr>
              <w:jc w:val="right"/>
            </w:pPr>
            <w:r>
              <w:rPr>
                <w:sz w:val="20"/>
              </w:rPr>
              <w:t>September 30, 2025</w:t>
            </w:r>
          </w:p>
        </w:tc>
      </w:tr>
      <w:tr>
        <w:tc>
          <w:tcPr>
            <w:tcW w:type="dxa" w:w="8640"/>
          </w:tcPr>
          <w:p>
            <w:r>
              <w:rPr>
                <w:sz w:val="20"/>
              </w:rPr>
              <w:t>Synthesize the existing fracture flow and transport properties of the Platteville formation</w:t>
            </w:r>
          </w:p>
        </w:tc>
        <w:tc>
          <w:tcPr>
            <w:tcW w:type="dxa" w:w="2160"/>
          </w:tcPr>
          <w:p>
            <w:pPr>
              <w:jc w:val="right"/>
            </w:pPr>
            <w:r>
              <w:rPr>
                <w:sz w:val="20"/>
              </w:rPr>
              <w:t>December 31, 2025</w:t>
            </w:r>
          </w:p>
        </w:tc>
      </w:tr>
      <w:tr>
        <w:tc>
          <w:tcPr>
            <w:tcW w:type="dxa" w:w="8640"/>
          </w:tcPr>
          <w:p>
            <w:r>
              <w:rPr>
                <w:sz w:val="20"/>
              </w:rPr>
              <w:t>Publish a map illustrating boreholes and their characteristics (such as water chemistry and hydraulic head)</w:t>
            </w:r>
          </w:p>
        </w:tc>
        <w:tc>
          <w:tcPr>
            <w:tcW w:type="dxa" w:w="2160"/>
          </w:tcPr>
          <w:p>
            <w:pPr>
              <w:jc w:val="right"/>
            </w:pPr>
            <w:r>
              <w:rPr>
                <w:sz w:val="20"/>
              </w:rPr>
              <w:t>June 30, 2026</w:t>
            </w:r>
          </w:p>
        </w:tc>
      </w:tr>
      <w:tr>
        <w:tc>
          <w:tcPr>
            <w:tcW w:type="dxa" w:w="8640"/>
          </w:tcPr>
          <w:p>
            <w:r>
              <w:rPr>
                <w:sz w:val="20"/>
              </w:rPr>
              <w:t>First field campaign to characterize fracture flow and transport properties of the Platteville formation</w:t>
            </w:r>
          </w:p>
        </w:tc>
        <w:tc>
          <w:tcPr>
            <w:tcW w:type="dxa" w:w="2160"/>
          </w:tcPr>
          <w:p>
            <w:pPr>
              <w:jc w:val="right"/>
            </w:pPr>
            <w:r>
              <w:rPr>
                <w:sz w:val="20"/>
              </w:rPr>
              <w:t>September 30, 2026</w:t>
            </w:r>
          </w:p>
        </w:tc>
      </w:tr>
      <w:tr>
        <w:tc>
          <w:tcPr>
            <w:tcW w:type="dxa" w:w="8640"/>
          </w:tcPr>
          <w:p>
            <w:r>
              <w:rPr>
                <w:sz w:val="20"/>
              </w:rPr>
              <w:t>Second field campaign to further characterize fracture flow and transport properties of the Platteville formation</w:t>
            </w:r>
          </w:p>
        </w:tc>
        <w:tc>
          <w:tcPr>
            <w:tcW w:type="dxa" w:w="2160"/>
          </w:tcPr>
          <w:p>
            <w:pPr>
              <w:jc w:val="right"/>
            </w:pPr>
            <w:r>
              <w:rPr>
                <w:sz w:val="20"/>
              </w:rPr>
              <w:t>September 30, 2027</w:t>
            </w:r>
          </w:p>
        </w:tc>
      </w:tr>
      <w:tr>
        <w:tc>
          <w:tcPr>
            <w:tcW w:type="dxa" w:w="8640"/>
          </w:tcPr>
          <w:p>
            <w:r>
              <w:rPr>
                <w:sz w:val="20"/>
              </w:rPr>
              <w:t>Apply geophysical techniques such as surface Electrical resistivity Tomography (ERT) during field campaign</w:t>
            </w:r>
          </w:p>
        </w:tc>
        <w:tc>
          <w:tcPr>
            <w:tcW w:type="dxa" w:w="2160"/>
          </w:tcPr>
          <w:p>
            <w:pPr>
              <w:jc w:val="right"/>
            </w:pPr>
            <w:r>
              <w:rPr>
                <w:sz w:val="20"/>
              </w:rPr>
              <w:t>September 30, 2027</w:t>
            </w:r>
          </w:p>
        </w:tc>
      </w:tr>
      <w:tr>
        <w:tc>
          <w:tcPr>
            <w:tcW w:type="dxa" w:w="8640"/>
          </w:tcPr>
          <w:p>
            <w:r>
              <w:rPr>
                <w:sz w:val="20"/>
              </w:rPr>
              <w:t>Develop a 3D hydrogeologic framework of the Platteville formation</w:t>
            </w:r>
          </w:p>
        </w:tc>
        <w:tc>
          <w:tcPr>
            <w:tcW w:type="dxa" w:w="2160"/>
          </w:tcPr>
          <w:p>
            <w:pPr>
              <w:jc w:val="right"/>
            </w:pPr>
            <w:r>
              <w:rPr>
                <w:sz w:val="20"/>
              </w:rPr>
              <w:t>October 31, 2027</w:t>
            </w:r>
          </w:p>
        </w:tc>
      </w:tr>
    </w:tbl>
    <w:p/>
    <w:p>
      <w:pPr>
        <w:pStyle w:val="Heading3"/>
        <w:spacing w:after="60"/>
      </w:pPr>
      <w:r>
        <w:rPr>
          <w:b/>
          <w:color w:val="254885"/>
          <w:sz w:val="26"/>
        </w:rPr>
        <w:t>Activity 2: Characterizing fracture flow and contaminant transport properties of the Prosser and Cummingsville Formations</w:t>
      </w:r>
    </w:p>
    <w:p>
      <w:r>
        <w:rPr>
          <w:b/>
        </w:rPr>
        <w:t xml:space="preserve">Activity Budget: </w:t>
      </w:r>
      <w:r>
        <w:t>$220,454</w:t>
      </w:r>
    </w:p>
    <w:p>
      <w:r>
        <w:rPr>
          <w:b/>
        </w:rPr>
        <w:t xml:space="preserve">Activity Description: </w:t>
        <w:br/>
      </w:r>
      <w:r>
        <w:t>In SE Minnesota, nitrate contamination of karst aquifers is an urgent environmental issue. In 2023, EPA issued a letter urging Minnesota to develop a long-term solution to reduce nitrate concentrations in groundwater. The primary objective of Activity 2 is to characterize the hydrogeologic properties of the karstic Prosser and Cummingsville Formations, which will be used to develop the numerical model described in Activity 3. The Bear Spring area in Olmsted County will be used as a target field site. The Bear Spring area is located within the Zumbro River Watershed, where the Minnesota Geological Survey has completed subsurface geologic mapping that will serve as an important basis for model development. The site already has dye tracing information, and additional field dye tracing will be conducted to determine the flow connectivity between sinkholes and springs and to characterize the travel time distribution of contaminants. By completing this project, we will be able to better understand nitrate fate and transport in the karst aquifers of SE Minnesota. Field dye tracing campaigns will be conducted in collaboration with John Barry, a hydrogeologist at the Minnesota Department of Natural Resources, and the newly collected data will be added to the Minnesota Groundwater Tracing 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Synthesize the existing fracture flow and transport properties of the Prosser and Cummingsville formations</w:t>
            </w:r>
          </w:p>
        </w:tc>
        <w:tc>
          <w:tcPr>
            <w:tcW w:type="dxa" w:w="2160"/>
          </w:tcPr>
          <w:p>
            <w:pPr>
              <w:jc w:val="right"/>
            </w:pPr>
            <w:r>
              <w:rPr>
                <w:sz w:val="20"/>
              </w:rPr>
              <w:t>December 31, 2025</w:t>
            </w:r>
          </w:p>
        </w:tc>
      </w:tr>
      <w:tr>
        <w:tc>
          <w:tcPr>
            <w:tcW w:type="dxa" w:w="8640"/>
          </w:tcPr>
          <w:p>
            <w:r>
              <w:rPr>
                <w:sz w:val="20"/>
              </w:rPr>
              <w:t>First field campaign to characterize flow and transport properties of the Prosser and Cummingsville formations</w:t>
            </w:r>
          </w:p>
        </w:tc>
        <w:tc>
          <w:tcPr>
            <w:tcW w:type="dxa" w:w="2160"/>
          </w:tcPr>
          <w:p>
            <w:pPr>
              <w:jc w:val="right"/>
            </w:pPr>
            <w:r>
              <w:rPr>
                <w:sz w:val="20"/>
              </w:rPr>
              <w:t>September 30, 2026</w:t>
            </w:r>
          </w:p>
        </w:tc>
      </w:tr>
      <w:tr>
        <w:tc>
          <w:tcPr>
            <w:tcW w:type="dxa" w:w="8640"/>
          </w:tcPr>
          <w:p>
            <w:r>
              <w:rPr>
                <w:sz w:val="20"/>
              </w:rPr>
              <w:t>Second field campaign to further characterize flow and transport properties of the Prosser and Cummingsville</w:t>
            </w:r>
          </w:p>
        </w:tc>
        <w:tc>
          <w:tcPr>
            <w:tcW w:type="dxa" w:w="2160"/>
          </w:tcPr>
          <w:p>
            <w:pPr>
              <w:jc w:val="right"/>
            </w:pPr>
            <w:r>
              <w:rPr>
                <w:sz w:val="20"/>
              </w:rPr>
              <w:t>September 30, 2027</w:t>
            </w:r>
          </w:p>
        </w:tc>
      </w:tr>
      <w:tr>
        <w:tc>
          <w:tcPr>
            <w:tcW w:type="dxa" w:w="8640"/>
          </w:tcPr>
          <w:p>
            <w:r>
              <w:rPr>
                <w:sz w:val="20"/>
              </w:rPr>
              <w:t>Develop a 3D hydrogeologic framework of the Prosser and Cummingsville formations</w:t>
            </w:r>
          </w:p>
        </w:tc>
        <w:tc>
          <w:tcPr>
            <w:tcW w:type="dxa" w:w="2160"/>
          </w:tcPr>
          <w:p>
            <w:pPr>
              <w:jc w:val="right"/>
            </w:pPr>
            <w:r>
              <w:rPr>
                <w:sz w:val="20"/>
              </w:rPr>
              <w:t>October 31, 2027</w:t>
            </w:r>
          </w:p>
        </w:tc>
      </w:tr>
    </w:tbl>
    <w:p/>
    <w:p>
      <w:pPr>
        <w:pStyle w:val="Heading3"/>
        <w:spacing w:after="60"/>
      </w:pPr>
      <w:r>
        <w:rPr>
          <w:b/>
          <w:color w:val="254885"/>
          <w:sz w:val="26"/>
        </w:rPr>
        <w:t>Activity 3: Develop a practical software for predicting contaminant transport in fractured aquifers and incorporate findings into college-level hydrogeology courses</w:t>
      </w:r>
    </w:p>
    <w:p>
      <w:r>
        <w:rPr>
          <w:b/>
        </w:rPr>
        <w:t xml:space="preserve">Activity Budget: </w:t>
      </w:r>
      <w:r>
        <w:t>$195,570</w:t>
      </w:r>
    </w:p>
    <w:p>
      <w:r>
        <w:rPr>
          <w:b/>
        </w:rPr>
        <w:t xml:space="preserve">Activity Description: </w:t>
        <w:br/>
      </w:r>
      <w:r>
        <w:t>The hydrogeologic characterization from Activities 1 and 2 will be turned into three-dimensional (3D) numerical models that simulate groundwater flow and contaminant transport. The development of numerical models, which reflect the complexity of fractured rocks, will be guided by field data obtained from dye tracing and hydraulic testing. The next phase involves quantifying contaminant travel time distributions using the developed numerical models. A diverse range of fractured rock scenarios will be modeled, and the produced data set will be used to train a machine learning algorithm, ensuring robust predictions while systematically quantifying the associated uncertainties. Based on modeling and machine learning results, user-friendly software capable of predicting contaminant travel time distributions will be developed. Using this software, users can input basic hydrogeologic information and obtain travel time distribution predictions, simplifying the complex process of modeling contaminant transport in fractured aquifers. The software will be made available to users via a publicly available data repository for UMN. An additional step will be to integrate the outcomes of the project into UMN's hydrogeology courses and online tutorials. This curriculum is designed to equip future hydrogeologists with the knowledge and tools necessary for tackling the challenges of groundwater management and protection.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and validate 3D flow and transport numerical models at the two field sites</w:t>
            </w:r>
          </w:p>
        </w:tc>
        <w:tc>
          <w:tcPr>
            <w:tcW w:type="dxa" w:w="2160"/>
          </w:tcPr>
          <w:p>
            <w:pPr>
              <w:jc w:val="right"/>
            </w:pPr>
            <w:r>
              <w:rPr>
                <w:sz w:val="20"/>
              </w:rPr>
              <w:t>December 31, 2026</w:t>
            </w:r>
          </w:p>
        </w:tc>
      </w:tr>
      <w:tr>
        <w:tc>
          <w:tcPr>
            <w:tcW w:type="dxa" w:w="8640"/>
          </w:tcPr>
          <w:p>
            <w:r>
              <w:rPr>
                <w:sz w:val="20"/>
              </w:rPr>
              <w:t>Simulate diverse fractured rock scenarios to quantify contaminant travel time distributions</w:t>
            </w:r>
          </w:p>
        </w:tc>
        <w:tc>
          <w:tcPr>
            <w:tcW w:type="dxa" w:w="2160"/>
          </w:tcPr>
          <w:p>
            <w:pPr>
              <w:jc w:val="right"/>
            </w:pPr>
            <w:r>
              <w:rPr>
                <w:sz w:val="20"/>
              </w:rPr>
              <w:t>June 30, 2027</w:t>
            </w:r>
          </w:p>
        </w:tc>
      </w:tr>
      <w:tr>
        <w:tc>
          <w:tcPr>
            <w:tcW w:type="dxa" w:w="8640"/>
          </w:tcPr>
          <w:p>
            <w:r>
              <w:rPr>
                <w:sz w:val="20"/>
              </w:rPr>
              <w:t>Develop an user-friendly software program that predicts contaminant travel time distribution</w:t>
            </w:r>
          </w:p>
        </w:tc>
        <w:tc>
          <w:tcPr>
            <w:tcW w:type="dxa" w:w="2160"/>
          </w:tcPr>
          <w:p>
            <w:pPr>
              <w:jc w:val="right"/>
            </w:pPr>
            <w:r>
              <w:rPr>
                <w:sz w:val="20"/>
              </w:rPr>
              <w:t>December 31, 2027</w:t>
            </w:r>
          </w:p>
        </w:tc>
      </w:tr>
      <w:tr>
        <w:tc>
          <w:tcPr>
            <w:tcW w:type="dxa" w:w="8640"/>
          </w:tcPr>
          <w:p>
            <w:r>
              <w:rPr>
                <w:sz w:val="20"/>
              </w:rPr>
              <w:t>Disseminate project outcomes and the software to state agencies, consulting companies, and other interested parties.</w:t>
            </w:r>
          </w:p>
        </w:tc>
        <w:tc>
          <w:tcPr>
            <w:tcW w:type="dxa" w:w="2160"/>
          </w:tcPr>
          <w:p>
            <w:pPr>
              <w:jc w:val="right"/>
            </w:pPr>
            <w:r>
              <w:rPr>
                <w:sz w:val="20"/>
              </w:rPr>
              <w:t>June 30, 2028</w:t>
            </w:r>
          </w:p>
        </w:tc>
      </w:tr>
      <w:tr>
        <w:tc>
          <w:tcPr>
            <w:tcW w:type="dxa" w:w="8640"/>
          </w:tcPr>
          <w:p>
            <w:r>
              <w:rPr>
                <w:sz w:val="20"/>
              </w:rPr>
              <w:t>Develop teaching curriculum and incorporate into college-level hydrogeology courses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Anthony Runkel</w:t>
            </w:r>
          </w:p>
        </w:tc>
        <w:tc>
          <w:tcPr>
            <w:tcW w:type="dxa" w:w="1440"/>
          </w:tcPr>
          <w:p>
            <w:r>
              <w:rPr>
                <w:sz w:val="20"/>
              </w:rPr>
              <w:t>Minnesota Geological Survey</w:t>
            </w:r>
          </w:p>
        </w:tc>
        <w:tc>
          <w:tcPr>
            <w:tcW w:type="dxa" w:w="6840"/>
          </w:tcPr>
          <w:p>
            <w:r>
              <w:rPr>
                <w:sz w:val="20"/>
              </w:rPr>
              <w:t>Dr. Runkel is Lead Geologist of the Minnesota Geological Survey and conducts research that targets geologic controls on groundwater flow. Dr. Runkel will support aquifer characterization and field hydraulic testing.</w:t>
            </w:r>
          </w:p>
        </w:tc>
        <w:tc>
          <w:tcPr>
            <w:tcW w:type="dxa" w:w="1080"/>
          </w:tcPr>
          <w:p>
            <w:r>
              <w:rPr>
                <w:sz w:val="20"/>
              </w:rPr>
              <w:t>Yes</w:t>
            </w:r>
          </w:p>
        </w:tc>
      </w:tr>
      <w:tr>
        <w:tc>
          <w:tcPr>
            <w:tcW w:type="dxa" w:w="1440"/>
          </w:tcPr>
          <w:p>
            <w:r>
              <w:rPr>
                <w:sz w:val="20"/>
              </w:rPr>
              <w:t>Chloé Fandel</w:t>
            </w:r>
          </w:p>
        </w:tc>
        <w:tc>
          <w:tcPr>
            <w:tcW w:type="dxa" w:w="1440"/>
          </w:tcPr>
          <w:p>
            <w:r>
              <w:rPr>
                <w:sz w:val="20"/>
              </w:rPr>
              <w:t>Carleton College</w:t>
            </w:r>
          </w:p>
        </w:tc>
        <w:tc>
          <w:tcPr>
            <w:tcW w:type="dxa" w:w="6840"/>
          </w:tcPr>
          <w:p>
            <w:r>
              <w:rPr>
                <w:sz w:val="20"/>
              </w:rPr>
              <w:t>Dr. Fandel is a karst hydrogeologist, and Fandel will support activities related to the modeling of a karst spring site in SE Minnesota.</w:t>
            </w:r>
          </w:p>
        </w:tc>
        <w:tc>
          <w:tcPr>
            <w:tcW w:type="dxa" w:w="1080"/>
          </w:tcPr>
          <w:p>
            <w:r>
              <w:rPr>
                <w:sz w:val="20"/>
              </w:rPr>
              <w:t>Yes</w:t>
            </w:r>
          </w:p>
        </w:tc>
      </w:tr>
      <w:tr>
        <w:tc>
          <w:tcPr>
            <w:tcW w:type="dxa" w:w="1440"/>
          </w:tcPr>
          <w:p>
            <w:r>
              <w:rPr>
                <w:sz w:val="20"/>
              </w:rPr>
              <w:t>Warren Barrash</w:t>
            </w:r>
          </w:p>
        </w:tc>
        <w:tc>
          <w:tcPr>
            <w:tcW w:type="dxa" w:w="1440"/>
          </w:tcPr>
          <w:p>
            <w:r>
              <w:rPr>
                <w:sz w:val="20"/>
              </w:rPr>
              <w:t>Boise State University</w:t>
            </w:r>
          </w:p>
        </w:tc>
        <w:tc>
          <w:tcPr>
            <w:tcW w:type="dxa" w:w="6840"/>
          </w:tcPr>
          <w:p>
            <w:r>
              <w:rPr>
                <w:sz w:val="20"/>
              </w:rPr>
              <w:t>Dr. Barrash will support field activities involving the modular hydraulic packer-and-port system.</w:t>
            </w:r>
          </w:p>
        </w:tc>
        <w:tc>
          <w:tcPr>
            <w:tcW w:type="dxa" w:w="1080"/>
          </w:tcPr>
          <w:p>
            <w:r>
              <w:rPr>
                <w:sz w:val="20"/>
              </w:rPr>
              <w:t>Yes</w:t>
            </w:r>
          </w:p>
        </w:tc>
      </w:tr>
      <w:tr>
        <w:tc>
          <w:tcPr>
            <w:tcW w:type="dxa" w:w="1440"/>
          </w:tcPr>
          <w:p>
            <w:r>
              <w:rPr>
                <w:sz w:val="20"/>
              </w:rPr>
              <w:t>John Barry</w:t>
            </w:r>
          </w:p>
        </w:tc>
        <w:tc>
          <w:tcPr>
            <w:tcW w:type="dxa" w:w="1440"/>
          </w:tcPr>
          <w:p>
            <w:r>
              <w:rPr>
                <w:sz w:val="20"/>
              </w:rPr>
              <w:t>Department of Natural Resources</w:t>
            </w:r>
          </w:p>
        </w:tc>
        <w:tc>
          <w:tcPr>
            <w:tcW w:type="dxa" w:w="6840"/>
          </w:tcPr>
          <w:p>
            <w:r>
              <w:rPr>
                <w:sz w:val="20"/>
              </w:rPr>
              <w:t>Mr. Barry will support activities related to field dye tracing in SE Minnesota.</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To ensure that our research findings and developed tools reach those who will benefit the most, we will collaborate closely with key stakeholders including state agencies such as the Minnesota Department of Health (MDH) and the Minnesota Pollution Control Agency (MPCA) and groundwater consulting companies. A workshop will be organized to present the software and its applications, emphasizing the practical applications of the software in groundwater contamination scenarios. To promote the longevity and continued development of the software developed through this project, we will establish a plan for ongoing software maintenance and updates to ensure that it remains compatible with evolving technology and user needs. The software will be open-source, enabling the broader scientific community to contribute to its development and improvement.</w:t>
        <w:br/>
        <w:t>The results of our research will be made widely accessible, and Environment and Natural Resources Trust Fund will be acknowledged through use of the trust fund logo or attribution language on project print and electronic media, publications, signage, and other communications per the ENRTF Acknowledgment Guidelines. All data, including hydrogeologic characterization data, numerical model outputs, and the software itself, will be made available through a publicly accessible data repository managed by the University of Minnesota (UMN). This ensures long-term accessibility to the research products. We will publish our findings in high-impact peer-reviewed journals and present them at national and international conferences, such as the American Geophysical Union (AGU) Fall Meeting. These publications and presentations will target the broader scientific community. Public outreach efforts will include presentations at local outreach events and participation in the Minnesota Groundwater Association Conference.</w:t>
        <w:br/>
        <w:t>This project also aims to enhance environmental protection through education and training. The software and research outcomes will be integrated into UMN’s hydrogeology curriculum. By training the next generation of hydrogeologists on cutting-edge tools and methods, we ensure that future professionals are equipped to address groundwater contamination challenges effectively.</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As a result of this project, practical software that predicts groundwater contaminant migration will be produced, and a particular focus of the PI will be to continue and expand collaborations with state agencies (MPCA, DNR, and MDH) so that the software can be implemented across the state. Examples of uses by state agencies and consultants include improvement in wellhead protection plans to protect public drinking water supplies and forecasting the transport of contaminants such as PFAS and nitrate to inform planning and mitigation efforts. Also, the topic is of great interest to federal agencies, which will be potential funding sources.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Managed Aquifer Recharge</w:t>
            </w:r>
          </w:p>
        </w:tc>
        <w:tc>
          <w:tcPr>
            <w:tcW w:type="dxa" w:w="4680"/>
          </w:tcPr>
          <w:p>
            <w:r>
              <w:rPr>
                <w:sz w:val="20"/>
              </w:rPr>
              <w:t>M.L. 2019, First Special Session, Chp. 4, Art. 2, Sec. 2, Subd. 04t</w:t>
            </w:r>
          </w:p>
        </w:tc>
        <w:tc>
          <w:tcPr>
            <w:tcW w:type="dxa" w:w="1440"/>
          </w:tcPr>
          <w:p>
            <w:pPr>
              <w:jc w:val="right"/>
            </w:pPr>
            <w:r>
              <w:rPr>
                <w:sz w:val="20"/>
              </w:rPr>
              <w:t>$350,000</w:t>
            </w:r>
          </w:p>
        </w:tc>
      </w:tr>
      <w:tr>
        <w:tc>
          <w:tcPr>
            <w:tcW w:type="dxa" w:w="4680"/>
          </w:tcPr>
          <w:p>
            <w:r>
              <w:rPr>
                <w:sz w:val="20"/>
              </w:rPr>
              <w:t>Mapping Aquifer Recharge Potential</w:t>
            </w:r>
          </w:p>
        </w:tc>
        <w:tc>
          <w:tcPr>
            <w:tcW w:type="dxa" w:w="4680"/>
          </w:tcPr>
          <w:p>
            <w:r>
              <w:rPr>
                <w:sz w:val="20"/>
              </w:rPr>
              <w:t>M.L. 2023, , Chp. 60, Art. 2, Sec. 2, Subd. 04h</w:t>
            </w:r>
          </w:p>
        </w:tc>
        <w:tc>
          <w:tcPr>
            <w:tcW w:type="dxa" w:w="1440"/>
          </w:tcPr>
          <w:p>
            <w:pPr>
              <w:jc w:val="right"/>
            </w:pPr>
            <w:r>
              <w:rPr>
                <w:sz w:val="20"/>
              </w:rPr>
              <w:t>$391,000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Peter Kang</w:t>
            </w:r>
          </w:p>
        </w:tc>
        <w:tc>
          <w:tcPr>
            <w:tcW w:type="dxa" w:w="1440"/>
          </w:tcPr>
          <w:p>
            <w:r>
              <w:rPr>
                <w:sz w:val="20"/>
              </w:rPr>
            </w:r>
          </w:p>
        </w:tc>
        <w:tc>
          <w:tcPr>
            <w:tcW w:type="dxa" w:w="5472"/>
          </w:tcPr>
          <w:p>
            <w:r>
              <w:rPr>
                <w:sz w:val="20"/>
              </w:rPr>
              <w:t>PI and project manager; will be in charge of overall project management and tasks related to modeling and outreach.</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$26,673</w:t>
            </w:r>
          </w:p>
        </w:tc>
      </w:tr>
      <w:tr>
        <w:tc>
          <w:tcPr>
            <w:tcW w:type="dxa" w:w="864"/>
          </w:tcPr>
          <w:p>
            <w:r>
              <w:rPr>
                <w:sz w:val="20"/>
              </w:rPr>
              <w:t>Civil Service Employee (Jana Kramer)</w:t>
            </w:r>
          </w:p>
        </w:tc>
        <w:tc>
          <w:tcPr>
            <w:tcW w:type="dxa" w:w="1440"/>
          </w:tcPr>
          <w:p>
            <w:r>
              <w:rPr>
                <w:sz w:val="20"/>
              </w:rPr>
            </w:r>
          </w:p>
        </w:tc>
        <w:tc>
          <w:tcPr>
            <w:tcW w:type="dxa" w:w="5472"/>
          </w:tcPr>
          <w:p>
            <w:r>
              <w:rPr>
                <w:sz w:val="20"/>
              </w:rPr>
              <w:t>Support field work related activites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$100,848</w:t>
            </w:r>
          </w:p>
        </w:tc>
      </w:tr>
      <w:tr>
        <w:tc>
          <w:tcPr>
            <w:tcW w:type="dxa" w:w="864"/>
          </w:tcPr>
          <w:p>
            <w:r>
              <w:rPr>
                <w:sz w:val="20"/>
              </w:rPr>
              <w:t>Graduate Student (Benefits include 25.1% health + tuition)</w:t>
            </w:r>
          </w:p>
        </w:tc>
        <w:tc>
          <w:tcPr>
            <w:tcW w:type="dxa" w:w="1440"/>
          </w:tcPr>
          <w:p>
            <w:r>
              <w:rPr>
                <w:sz w:val="20"/>
              </w:rPr>
            </w:r>
          </w:p>
        </w:tc>
        <w:tc>
          <w:tcPr>
            <w:tcW w:type="dxa" w:w="5472"/>
          </w:tcPr>
          <w:p>
            <w:r>
              <w:rPr>
                <w:sz w:val="20"/>
              </w:rPr>
              <w:t>Aquifer characterization and numerical modeling of a karst spring site in SE MN.</w:t>
            </w:r>
          </w:p>
        </w:tc>
        <w:tc>
          <w:tcPr>
            <w:tcW w:type="dxa" w:w="4032"/>
          </w:tcPr>
          <w:p>
            <w:r>
              <w:rPr>
                <w:sz w:val="20"/>
              </w:rPr>
            </w:r>
          </w:p>
        </w:tc>
        <w:tc>
          <w:tcPr>
            <w:tcW w:type="dxa" w:w="360"/>
          </w:tcPr>
          <w:p>
            <w:r>
              <w:rPr>
                <w:sz w:val="20"/>
              </w:rPr>
            </w:r>
          </w:p>
        </w:tc>
        <w:tc>
          <w:tcPr>
            <w:tcW w:type="dxa" w:w="360"/>
          </w:tcPr>
          <w:p>
            <w:pPr>
              <w:jc w:val="right"/>
            </w:pPr>
            <w:r>
              <w:rPr>
                <w:sz w:val="20"/>
              </w:rPr>
              <w:t>55%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$164,664</w:t>
            </w:r>
          </w:p>
        </w:tc>
      </w:tr>
      <w:tr>
        <w:tc>
          <w:tcPr>
            <w:tcW w:type="dxa" w:w="864"/>
          </w:tcPr>
          <w:p>
            <w:r>
              <w:rPr>
                <w:sz w:val="20"/>
              </w:rPr>
              <w:t>Tony Runkel</w:t>
            </w:r>
          </w:p>
        </w:tc>
        <w:tc>
          <w:tcPr>
            <w:tcW w:type="dxa" w:w="1440"/>
          </w:tcPr>
          <w:p>
            <w:r>
              <w:rPr>
                <w:sz w:val="20"/>
              </w:rPr>
            </w:r>
          </w:p>
        </w:tc>
        <w:tc>
          <w:tcPr>
            <w:tcW w:type="dxa" w:w="5472"/>
          </w:tcPr>
          <w:p>
            <w:r>
              <w:rPr>
                <w:sz w:val="20"/>
              </w:rPr>
              <w:t>Support aquifer characterization and hydraulic testing.</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$29,164</w:t>
            </w:r>
          </w:p>
        </w:tc>
      </w:tr>
      <w:tr>
        <w:tc>
          <w:tcPr>
            <w:tcW w:type="dxa" w:w="864"/>
          </w:tcPr>
          <w:p>
            <w:r>
              <w:rPr>
                <w:sz w:val="20"/>
              </w:rPr>
              <w:t>SAFL engineer</w:t>
            </w:r>
          </w:p>
        </w:tc>
        <w:tc>
          <w:tcPr>
            <w:tcW w:type="dxa" w:w="1440"/>
          </w:tcPr>
          <w:p>
            <w:r>
              <w:rPr>
                <w:sz w:val="20"/>
              </w:rPr>
            </w:r>
          </w:p>
        </w:tc>
        <w:tc>
          <w:tcPr>
            <w:tcW w:type="dxa" w:w="5472"/>
          </w:tcPr>
          <w:p>
            <w:r>
              <w:rPr>
                <w:sz w:val="20"/>
              </w:rPr>
              <w:t>Support field instrumentation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$71,614</w:t>
            </w:r>
          </w:p>
        </w:tc>
      </w:tr>
      <w:tr>
        <w:tc>
          <w:tcPr>
            <w:tcW w:type="dxa" w:w="864"/>
          </w:tcPr>
          <w:p>
            <w:r>
              <w:rPr>
                <w:sz w:val="20"/>
              </w:rPr>
              <w:t>Graduate Student</w:t>
            </w:r>
          </w:p>
        </w:tc>
        <w:tc>
          <w:tcPr>
            <w:tcW w:type="dxa" w:w="1440"/>
          </w:tcPr>
          <w:p>
            <w:r>
              <w:rPr>
                <w:sz w:val="20"/>
              </w:rPr>
            </w:r>
          </w:p>
        </w:tc>
        <w:tc>
          <w:tcPr>
            <w:tcW w:type="dxa" w:w="5472"/>
          </w:tcPr>
          <w:p>
            <w:r>
              <w:rPr>
                <w:sz w:val="20"/>
              </w:rPr>
              <w:t>Numerical modeling of the Platteville formation and software development</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$78,037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Carleton College</w:t>
            </w:r>
          </w:p>
        </w:tc>
        <w:tc>
          <w:tcPr>
            <w:tcW w:type="dxa" w:w="1440"/>
          </w:tcPr>
          <w:p>
            <w:r>
              <w:rPr>
                <w:sz w:val="20"/>
              </w:rPr>
              <w:t>Subaward</w:t>
            </w:r>
          </w:p>
        </w:tc>
        <w:tc>
          <w:tcPr>
            <w:tcW w:type="dxa" w:w="5472"/>
          </w:tcPr>
          <w:p>
            <w:r>
              <w:rPr>
                <w:sz w:val="20"/>
              </w:rPr>
              <w:t>Dr. Chloé Fandel has strong expertise in karst hydrogeology. Dr. Fandel will support activities related to the modeling of a karst spring site in SE Minnesota. Her budget includes out of state travel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$30,000</w:t>
            </w:r>
          </w:p>
        </w:tc>
      </w:tr>
      <w:tr>
        <w:tc>
          <w:tcPr>
            <w:tcW w:type="dxa" w:w="864"/>
          </w:tcPr>
          <w:p>
            <w:r>
              <w:rPr>
                <w:sz w:val="20"/>
              </w:rPr>
              <w:t>Boise State University</w:t>
            </w:r>
          </w:p>
        </w:tc>
        <w:tc>
          <w:tcPr>
            <w:tcW w:type="dxa" w:w="1440"/>
          </w:tcPr>
          <w:p>
            <w:r>
              <w:rPr>
                <w:sz w:val="20"/>
              </w:rPr>
              <w:t>Subaward</w:t>
            </w:r>
          </w:p>
        </w:tc>
        <w:tc>
          <w:tcPr>
            <w:tcW w:type="dxa" w:w="5472"/>
          </w:tcPr>
          <w:p>
            <w:r>
              <w:rPr>
                <w:sz w:val="20"/>
              </w:rPr>
              <w:t>Subaward to Dr. Warren Barrash at Boise State University for personnel $35K, supplies $5K, travel $10K to provide technical assistance and technology transfer regarding the Modular Hydraulic Packer-and-Port System (MHPS) for discrete zone measurements using fiber optics. Dr. Barrash will make annual trips to the UMN-TC campus to support fieldwork.</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tcPr>
          <w:p>
            <w:r>
              <w:rPr>
                <w:sz w:val="20"/>
              </w:rPr>
              <w:t>Research Analytical Laboratory at UMN</w:t>
            </w:r>
          </w:p>
        </w:tc>
        <w:tc>
          <w:tcPr>
            <w:tcW w:type="dxa" w:w="1440"/>
          </w:tcPr>
          <w:p>
            <w:r>
              <w:rPr>
                <w:sz w:val="20"/>
              </w:rPr>
              <w:t>Internal services or fees (uncommon)</w:t>
            </w:r>
          </w:p>
        </w:tc>
        <w:tc>
          <w:tcPr>
            <w:tcW w:type="dxa" w:w="5472"/>
          </w:tcPr>
          <w:p>
            <w:r>
              <w:rPr>
                <w:sz w:val="20"/>
              </w:rPr>
              <w:t>Water chemistry analysis for quantification of cation and anion concentrations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$86,500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Double Valve Pumps (DVPs), including a mini double-valve pump, a 12V compressor, a pump control unit, reel and tubing</w:t>
            </w:r>
          </w:p>
        </w:tc>
        <w:tc>
          <w:tcPr>
            <w:tcW w:type="dxa" w:w="4032"/>
          </w:tcPr>
          <w:p>
            <w:r>
              <w:rPr>
                <w:sz w:val="20"/>
              </w:rPr>
              <w:t>To conduct groundwater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$4,652</w:t>
            </w:r>
          </w:p>
        </w:tc>
      </w:tr>
      <w:tr>
        <w:tc>
          <w:tcPr>
            <w:tcW w:type="dxa" w:w="864"/>
          </w:tcPr>
          <w:p>
            <w:r>
              <w:rPr>
                <w:sz w:val="20"/>
              </w:rPr>
            </w:r>
          </w:p>
        </w:tc>
        <w:tc>
          <w:tcPr>
            <w:tcW w:type="dxa" w:w="1440"/>
          </w:tcPr>
          <w:p>
            <w:r>
              <w:rPr>
                <w:sz w:val="20"/>
              </w:rPr>
              <w:t>Equipment</w:t>
            </w:r>
          </w:p>
        </w:tc>
        <w:tc>
          <w:tcPr>
            <w:tcW w:type="dxa" w:w="5472"/>
          </w:tcPr>
          <w:p>
            <w:r>
              <w:rPr>
                <w:sz w:val="20"/>
              </w:rPr>
              <w:t>Regular Pressure Transducers, including van Essen Micro drivers (6) and baro divers (2)</w:t>
            </w:r>
          </w:p>
        </w:tc>
        <w:tc>
          <w:tcPr>
            <w:tcW w:type="dxa" w:w="4032"/>
          </w:tcPr>
          <w:p>
            <w:r>
              <w:rPr>
                <w:sz w:val="20"/>
              </w:rPr>
              <w:t>Pressure transducers for measuring hydraulic head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$6,132</w:t>
            </w:r>
          </w:p>
        </w:tc>
      </w:tr>
      <w:tr>
        <w:tc>
          <w:tcPr>
            <w:tcW w:type="dxa" w:w="864"/>
          </w:tcPr>
          <w:p>
            <w:r>
              <w:rPr>
                <w:sz w:val="20"/>
              </w:rPr>
            </w:r>
          </w:p>
        </w:tc>
        <w:tc>
          <w:tcPr>
            <w:tcW w:type="dxa" w:w="1440"/>
          </w:tcPr>
          <w:p>
            <w:r>
              <w:rPr>
                <w:sz w:val="20"/>
              </w:rPr>
              <w:t>Equipment</w:t>
            </w:r>
          </w:p>
        </w:tc>
        <w:tc>
          <w:tcPr>
            <w:tcW w:type="dxa" w:w="5472"/>
          </w:tcPr>
          <w:p>
            <w:r>
              <w:rPr>
                <w:sz w:val="20"/>
              </w:rPr>
              <w:t>Dataloggers (2 CR350-Cell210V-25-Yi and antennas, cable)</w:t>
            </w:r>
          </w:p>
        </w:tc>
        <w:tc>
          <w:tcPr>
            <w:tcW w:type="dxa" w:w="4032"/>
          </w:tcPr>
          <w:p>
            <w:r>
              <w:rPr>
                <w:sz w:val="20"/>
              </w:rPr>
              <w:t>For logging field data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$3,404</w:t>
            </w:r>
          </w:p>
        </w:tc>
      </w:tr>
      <w:tr>
        <w:tc>
          <w:tcPr>
            <w:tcW w:type="dxa" w:w="864"/>
          </w:tcPr>
          <w:p>
            <w:r>
              <w:rPr>
                <w:sz w:val="20"/>
              </w:rPr>
            </w:r>
          </w:p>
        </w:tc>
        <w:tc>
          <w:tcPr>
            <w:tcW w:type="dxa" w:w="1440"/>
          </w:tcPr>
          <w:p>
            <w:r>
              <w:rPr>
                <w:sz w:val="20"/>
              </w:rPr>
              <w:t>Tools and Supplies</w:t>
            </w:r>
          </w:p>
        </w:tc>
        <w:tc>
          <w:tcPr>
            <w:tcW w:type="dxa" w:w="5472"/>
          </w:tcPr>
          <w:p>
            <w:r>
              <w:rPr>
                <w:sz w:val="20"/>
              </w:rPr>
              <w:t>2 ferrule cleaners, rack mounting frame for FOXD, misc fiber optic parts, DAQ power cord, case and RJ50 adapter</w:t>
            </w:r>
          </w:p>
        </w:tc>
        <w:tc>
          <w:tcPr>
            <w:tcW w:type="dxa" w:w="4032"/>
          </w:tcPr>
          <w:p>
            <w:r>
              <w:rPr>
                <w:sz w:val="20"/>
              </w:rPr>
              <w:t>Fiber Optic Transducer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$1,550</w:t>
            </w:r>
          </w:p>
        </w:tc>
      </w:tr>
      <w:tr>
        <w:tc>
          <w:tcPr>
            <w:tcW w:type="dxa" w:w="864"/>
          </w:tcPr>
          <w:p>
            <w:r>
              <w:rPr>
                <w:sz w:val="20"/>
              </w:rPr>
            </w:r>
          </w:p>
        </w:tc>
        <w:tc>
          <w:tcPr>
            <w:tcW w:type="dxa" w:w="1440"/>
          </w:tcPr>
          <w:p>
            <w:r>
              <w:rPr>
                <w:sz w:val="20"/>
              </w:rPr>
              <w:t>Tools and Supplies</w:t>
            </w:r>
          </w:p>
        </w:tc>
        <w:tc>
          <w:tcPr>
            <w:tcW w:type="dxa" w:w="5472"/>
          </w:tcPr>
          <w:p>
            <w:r>
              <w:rPr>
                <w:sz w:val="20"/>
              </w:rPr>
              <w:t>new tubing, solvent weld, thread compound, packing supplies, Kwik Klamps, well head stability</w:t>
            </w:r>
          </w:p>
        </w:tc>
        <w:tc>
          <w:tcPr>
            <w:tcW w:type="dxa" w:w="4032"/>
          </w:tcPr>
          <w:p>
            <w:r>
              <w:rPr>
                <w:sz w:val="20"/>
              </w:rPr>
              <w:t>MHPS Components and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$8,495</w:t>
            </w:r>
          </w:p>
        </w:tc>
      </w:tr>
      <w:tr>
        <w:tc>
          <w:tcPr>
            <w:tcW w:type="dxa" w:w="864"/>
          </w:tcPr>
          <w:p>
            <w:r>
              <w:rPr>
                <w:sz w:val="20"/>
              </w:rPr>
            </w:r>
          </w:p>
        </w:tc>
        <w:tc>
          <w:tcPr>
            <w:tcW w:type="dxa" w:w="1440"/>
          </w:tcPr>
          <w:p>
            <w:r>
              <w:rPr>
                <w:sz w:val="20"/>
              </w:rPr>
              <w:t>Tools and Supplies</w:t>
            </w:r>
          </w:p>
        </w:tc>
        <w:tc>
          <w:tcPr>
            <w:tcW w:type="dxa" w:w="5472"/>
          </w:tcPr>
          <w:p>
            <w:r>
              <w:rPr>
                <w:sz w:val="20"/>
              </w:rPr>
              <w:t>2 bottles, 2 suction lines and couplers for autosampler</w:t>
            </w:r>
          </w:p>
        </w:tc>
        <w:tc>
          <w:tcPr>
            <w:tcW w:type="dxa" w:w="4032"/>
          </w:tcPr>
          <w:p>
            <w:r>
              <w:rPr>
                <w:sz w:val="20"/>
              </w:rPr>
              <w:t>Autosampler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$920</w:t>
            </w:r>
          </w:p>
        </w:tc>
      </w:tr>
      <w:tr>
        <w:tc>
          <w:tcPr>
            <w:tcW w:type="dxa" w:w="864"/>
          </w:tcPr>
          <w:p>
            <w:r>
              <w:rPr>
                <w:sz w:val="20"/>
              </w:rPr>
            </w:r>
          </w:p>
        </w:tc>
        <w:tc>
          <w:tcPr>
            <w:tcW w:type="dxa" w:w="1440"/>
          </w:tcPr>
          <w:p>
            <w:r>
              <w:rPr>
                <w:sz w:val="20"/>
              </w:rPr>
              <w:t>Tools and Supplies</w:t>
            </w:r>
          </w:p>
        </w:tc>
        <w:tc>
          <w:tcPr>
            <w:tcW w:type="dxa" w:w="5472"/>
          </w:tcPr>
          <w:p>
            <w:r>
              <w:rPr>
                <w:sz w:val="20"/>
              </w:rPr>
              <w:t>3 deep cycle batteries for DVP compressor</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$390</w:t>
            </w:r>
          </w:p>
        </w:tc>
      </w:tr>
      <w:tr>
        <w:tc>
          <w:tcPr>
            <w:tcW w:type="dxa" w:w="864"/>
          </w:tcPr>
          <w:p>
            <w:r>
              <w:rPr>
                <w:sz w:val="20"/>
              </w:rPr>
            </w:r>
          </w:p>
        </w:tc>
        <w:tc>
          <w:tcPr>
            <w:tcW w:type="dxa" w:w="1440"/>
          </w:tcPr>
          <w:p>
            <w:r>
              <w:rPr>
                <w:sz w:val="20"/>
              </w:rPr>
              <w:t>Tools and Supplies</w:t>
            </w:r>
          </w:p>
        </w:tc>
        <w:tc>
          <w:tcPr>
            <w:tcW w:type="dxa" w:w="5472"/>
          </w:tcPr>
          <w:p>
            <w:r>
              <w:rPr>
                <w:sz w:val="20"/>
              </w:rPr>
              <w:t>passive carbon detector components</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Tools and Supplies</w:t>
            </w:r>
          </w:p>
        </w:tc>
        <w:tc>
          <w:tcPr>
            <w:tcW w:type="dxa" w:w="5472"/>
          </w:tcPr>
          <w:p>
            <w:r>
              <w:rPr>
                <w:sz w:val="20"/>
              </w:rPr>
              <w:t>passive carbon detector supplies (cuvettes, reagents)</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Tools and Supplies</w:t>
            </w:r>
          </w:p>
        </w:tc>
        <w:tc>
          <w:tcPr>
            <w:tcW w:type="dxa" w:w="5472"/>
          </w:tcPr>
          <w:p>
            <w:r>
              <w:rPr>
                <w:sz w:val="20"/>
              </w:rPr>
              <w:t>4 solar power panels (10W)</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$260</w:t>
            </w:r>
          </w:p>
        </w:tc>
      </w:tr>
      <w:tr>
        <w:tc>
          <w:tcPr>
            <w:tcW w:type="dxa" w:w="864"/>
          </w:tcPr>
          <w:p>
            <w:r>
              <w:rPr>
                <w:sz w:val="20"/>
              </w:rPr>
            </w:r>
          </w:p>
        </w:tc>
        <w:tc>
          <w:tcPr>
            <w:tcW w:type="dxa" w:w="1440"/>
          </w:tcPr>
          <w:p>
            <w:r>
              <w:rPr>
                <w:sz w:val="20"/>
              </w:rPr>
              <w:t>Tools and Supplies</w:t>
            </w:r>
          </w:p>
        </w:tc>
        <w:tc>
          <w:tcPr>
            <w:tcW w:type="dxa" w:w="5472"/>
          </w:tcPr>
          <w:p>
            <w:r>
              <w:rPr>
                <w:sz w:val="20"/>
              </w:rPr>
              <w:t>1 solar power panel (110W)</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$385</w:t>
            </w:r>
          </w:p>
        </w:tc>
      </w:tr>
      <w:tr>
        <w:tc>
          <w:tcPr>
            <w:tcW w:type="dxa" w:w="864"/>
          </w:tcPr>
          <w:p>
            <w:r>
              <w:rPr>
                <w:sz w:val="20"/>
              </w:rPr>
            </w:r>
          </w:p>
        </w:tc>
        <w:tc>
          <w:tcPr>
            <w:tcW w:type="dxa" w:w="1440"/>
          </w:tcPr>
          <w:p>
            <w:r>
              <w:rPr>
                <w:sz w:val="20"/>
              </w:rPr>
              <w:t>Tools and Supplies</w:t>
            </w:r>
          </w:p>
        </w:tc>
        <w:tc>
          <w:tcPr>
            <w:tcW w:type="dxa" w:w="5472"/>
          </w:tcPr>
          <w:p>
            <w:r>
              <w:rPr>
                <w:sz w:val="20"/>
              </w:rPr>
              <w:t>solinet 102M mini WL tape (P4)</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$385</w:t>
            </w:r>
          </w:p>
        </w:tc>
      </w:tr>
      <w:tr>
        <w:tc>
          <w:tcPr>
            <w:tcW w:type="dxa" w:w="864"/>
          </w:tcPr>
          <w:p>
            <w:r>
              <w:rPr>
                <w:sz w:val="20"/>
              </w:rPr>
            </w:r>
          </w:p>
        </w:tc>
        <w:tc>
          <w:tcPr>
            <w:tcW w:type="dxa" w:w="1440"/>
          </w:tcPr>
          <w:p>
            <w:r>
              <w:rPr>
                <w:sz w:val="20"/>
              </w:rPr>
              <w:t>Tools and Supplies</w:t>
            </w:r>
          </w:p>
        </w:tc>
        <w:tc>
          <w:tcPr>
            <w:tcW w:type="dxa" w:w="5472"/>
          </w:tcPr>
          <w:p>
            <w:r>
              <w:rPr>
                <w:sz w:val="20"/>
              </w:rPr>
              <w:t>consumables - gloves, sampling, tubes</w:t>
            </w:r>
          </w:p>
        </w:tc>
        <w:tc>
          <w:tcPr>
            <w:tcW w:type="dxa" w:w="4032"/>
          </w:tcPr>
          <w:p>
            <w:r>
              <w:rPr>
                <w:sz w:val="20"/>
              </w:rPr>
              <w:t>Miscellaneous tools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$29,273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In-line flowmeter (ModMag EM Flow Meter, wireless bridge adaptor, attachment fittings)</w:t>
            </w:r>
          </w:p>
        </w:tc>
        <w:tc>
          <w:tcPr>
            <w:tcW w:type="dxa" w:w="4032"/>
          </w:tcPr>
          <w:p>
            <w:r>
              <w:rPr>
                <w:sz w:val="20"/>
              </w:rPr>
              <w:t>Accurate flow rate control during pumping tests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$5,390</w:t>
            </w:r>
          </w:p>
        </w:tc>
      </w:tr>
      <w:tr>
        <w:tc>
          <w:tcPr>
            <w:tcW w:type="dxa" w:w="864"/>
          </w:tcPr>
          <w:p>
            <w:r>
              <w:rPr>
                <w:sz w:val="20"/>
              </w:rPr>
            </w:r>
          </w:p>
        </w:tc>
        <w:tc>
          <w:tcPr>
            <w:tcW w:type="dxa" w:w="1440"/>
          </w:tcPr>
          <w:p>
            <w:r>
              <w:rPr>
                <w:sz w:val="20"/>
              </w:rPr>
            </w:r>
          </w:p>
        </w:tc>
        <w:tc>
          <w:tcPr>
            <w:tcW w:type="dxa" w:w="5472"/>
          </w:tcPr>
          <w:p>
            <w:r>
              <w:rPr>
                <w:sz w:val="20"/>
              </w:rPr>
              <w:t>ISCO 6712C compact autosamplers (2) and a powerpack/modem</w:t>
            </w:r>
          </w:p>
        </w:tc>
        <w:tc>
          <w:tcPr>
            <w:tcW w:type="dxa" w:w="4032"/>
          </w:tcPr>
          <w:p>
            <w:r>
              <w:rPr>
                <w:sz w:val="20"/>
              </w:rPr>
              <w:t>Autosamplers for automatic water sampling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$13,326</w:t>
            </w:r>
          </w:p>
        </w:tc>
      </w:tr>
      <w:tr>
        <w:tc>
          <w:tcPr>
            <w:tcW w:type="dxa" w:w="864"/>
          </w:tcPr>
          <w:p>
            <w:r>
              <w:rPr>
                <w:sz w:val="20"/>
              </w:rPr>
            </w:r>
          </w:p>
        </w:tc>
        <w:tc>
          <w:tcPr>
            <w:tcW w:type="dxa" w:w="1440"/>
          </w:tcPr>
          <w:p>
            <w:r>
              <w:rPr>
                <w:sz w:val="20"/>
              </w:rPr>
            </w:r>
          </w:p>
        </w:tc>
        <w:tc>
          <w:tcPr>
            <w:tcW w:type="dxa" w:w="5472"/>
          </w:tcPr>
          <w:p>
            <w:r>
              <w:rPr>
                <w:sz w:val="20"/>
              </w:rPr>
              <w:t>Aqua troll 600 multiparameter sonde with anti-fouling wiper and internal logging and backup</w:t>
            </w:r>
          </w:p>
        </w:tc>
        <w:tc>
          <w:tcPr>
            <w:tcW w:type="dxa" w:w="4032"/>
          </w:tcPr>
          <w:p>
            <w:r>
              <w:rPr>
                <w:sz w:val="20"/>
              </w:rPr>
              <w:t>Multiparameter sonde for water quality monitoring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$13,120</w:t>
            </w:r>
          </w:p>
        </w:tc>
      </w:tr>
      <w:tr>
        <w:tc>
          <w:tcPr>
            <w:tcW w:type="dxa" w:w="864"/>
          </w:tcPr>
          <w:p>
            <w:r>
              <w:rPr>
                <w:sz w:val="20"/>
              </w:rPr>
            </w:r>
          </w:p>
        </w:tc>
        <w:tc>
          <w:tcPr>
            <w:tcW w:type="dxa" w:w="1440"/>
          </w:tcPr>
          <w:p>
            <w:r>
              <w:rPr>
                <w:sz w:val="20"/>
              </w:rPr>
            </w:r>
          </w:p>
        </w:tc>
        <w:tc>
          <w:tcPr>
            <w:tcW w:type="dxa" w:w="5472"/>
          </w:tcPr>
          <w:p>
            <w:r>
              <w:rPr>
                <w:sz w:val="20"/>
              </w:rPr>
              <w:t>Fiber Optic Transducer system (Chassis, 2-channel light conditioner FO transducers, fiber optic cables, cDAQ-9178 CompactDAQ Chassis, NI-9205 for FOXDs and NI9933 37-pin DSUB connector kit)</w:t>
            </w:r>
          </w:p>
        </w:tc>
        <w:tc>
          <w:tcPr>
            <w:tcW w:type="dxa" w:w="4032"/>
          </w:tcPr>
          <w:p>
            <w:r>
              <w:rPr>
                <w:sz w:val="20"/>
              </w:rPr>
              <w:t>Fiber Optic Transducer system for high accuracy groundwater level monitoring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$13,216</w:t>
            </w:r>
          </w:p>
        </w:tc>
      </w:tr>
      <w:tr>
        <w:tc>
          <w:tcPr>
            <w:tcW w:type="dxa" w:w="864"/>
          </w:tcPr>
          <w:p>
            <w:r>
              <w:rPr>
                <w:sz w:val="20"/>
              </w:rPr>
            </w:r>
          </w:p>
        </w:tc>
        <w:tc>
          <w:tcPr>
            <w:tcW w:type="dxa" w:w="1440"/>
          </w:tcPr>
          <w:p>
            <w:r>
              <w:rPr>
                <w:sz w:val="20"/>
              </w:rPr>
            </w:r>
          </w:p>
        </w:tc>
        <w:tc>
          <w:tcPr>
            <w:tcW w:type="dxa" w:w="5472"/>
          </w:tcPr>
          <w:p>
            <w:r>
              <w:rPr>
                <w:sz w:val="20"/>
              </w:rPr>
              <w:t>MHPS unit (Ruber Cylinders, Custom Collars, clamps, pipe connectors, 40 pvc pipe, camlocks and push connectors)</w:t>
            </w:r>
          </w:p>
        </w:tc>
        <w:tc>
          <w:tcPr>
            <w:tcW w:type="dxa" w:w="4032"/>
          </w:tcPr>
          <w:p>
            <w:r>
              <w:rPr>
                <w:sz w:val="20"/>
              </w:rPr>
              <w:t>Fabrication of new MHPS unit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$9,675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$54,727</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Travel costs to visit field sites. Four field trips per year per site are planned to conduct field experiments.</w:t>
            </w:r>
          </w:p>
        </w:tc>
        <w:tc>
          <w:tcPr>
            <w:tcW w:type="dxa" w:w="4032"/>
          </w:tcPr>
          <w:p>
            <w:r>
              <w:rPr>
                <w:sz w:val="20"/>
              </w:rPr>
              <w:t>To visit field sites for sensor deployment, data collection, and site characterization.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Domestic conference trip for one person</w:t>
            </w:r>
          </w:p>
        </w:tc>
        <w:tc>
          <w:tcPr>
            <w:tcW w:type="dxa" w:w="4032"/>
          </w:tcPr>
          <w:p>
            <w:r>
              <w:rPr>
                <w:sz w:val="20"/>
              </w:rPr>
              <w:t>Conference travel for disseminating project outcomes, networking, and collecting project related information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Boise State University</w:t>
            </w:r>
          </w:p>
        </w:tc>
        <w:tc>
          <w:tcPr>
            <w:tcW w:type="dxa" w:w="1800"/>
          </w:tcPr>
          <w:p>
            <w:r>
              <w:rPr>
                <w:sz w:val="20"/>
              </w:rPr>
              <w:t>Subaward</w:t>
            </w:r>
          </w:p>
        </w:tc>
        <w:tc>
          <w:tcPr>
            <w:tcW w:type="dxa" w:w="3240"/>
          </w:tcPr>
          <w:p>
            <w:r>
              <w:rPr>
                <w:sz w:val="20"/>
              </w:rPr>
              <w:t>Subaward to Dr. Warren Barrash at Boise State University for personnel $35K, supplies $5K, travel $10K to provide technical assistance and technology transfer regarding the Modular Hydraulic Packer-and-Port System (MHPS) for discrete zone measurements using fiber optics. Dr. Barrash will make annual trips to the UMN-TC campus to support fieldwork.</w:t>
            </w:r>
          </w:p>
        </w:tc>
        <w:tc>
          <w:tcPr>
            <w:tcW w:type="dxa" w:w="7560"/>
          </w:tcPr>
          <w:p>
            <w:r>
              <w:rPr>
                <w:sz w:val="20"/>
              </w:rPr>
              <w:t>Dr. Barrash's patented borehole installation technology and unique expertise in fiber optic sensing for groundwater monitoring are essential for obtaining high-resolution data critical to the project. No in-state expert possesses his specialized knowledge, making his role irreplaceable for implementing advanced monitoring techniques. Engaging his expertise ensures the project’s success by providing accurate data efficiently, avoiding costly delays and additional resource demands.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In-line flowmeter (ModMag EM Flow Meter, wireless bridge adaptor, attachment fittings)</w:t>
            </w:r>
          </w:p>
        </w:tc>
        <w:tc>
          <w:tcPr>
            <w:tcW w:type="dxa" w:w="7560"/>
          </w:tcPr>
          <w:p>
            <w:r>
              <w:rPr>
                <w:sz w:val="20"/>
              </w:rPr>
              <w:t>The capital equipment will remain in use at the proposed study sites throughout its lifespan, contributing to an improved hydrogeologic understanding.</w:t>
              <w:br/>
            </w:r>
            <w:r>
              <w:rPr>
                <w:b/>
                <w:sz w:val="20"/>
              </w:rPr>
              <w:t xml:space="preserve">Additional Explanation : </w:t>
            </w:r>
            <w:r>
              <w:rPr>
                <w:sz w:val="20"/>
              </w:rPr>
              <w:t>The capital equipment will remain in use at the proposed study sites throughout its lifespan, contributing to an improved hydrogeologic understanding.</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ISCO 6712C compact autosamplers (2) and a powerpack/modem</w:t>
            </w:r>
          </w:p>
        </w:tc>
        <w:tc>
          <w:tcPr>
            <w:tcW w:type="dxa" w:w="7560"/>
          </w:tcPr>
          <w:p>
            <w:r>
              <w:rPr>
                <w:sz w:val="20"/>
              </w:rPr>
              <w:t>The capital equipment will remain in use at the proposed study sites throughout its lifespan, contributing to an improved hydrogeologic understanding.</w:t>
              <w:br/>
            </w:r>
            <w:r>
              <w:rPr>
                <w:b/>
                <w:sz w:val="20"/>
              </w:rPr>
              <w:t xml:space="preserve">Additional Explanation : </w:t>
            </w:r>
            <w:r>
              <w:rPr>
                <w:sz w:val="20"/>
              </w:rPr>
              <w:t>The capital equipment will remain in use at the proposed study sites throughout its lifespan, contributing to an improved hydrogeologic understanding.</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Aqua troll 600 multiparameter sonde with anti-fouling wiper and internal logging and backup</w:t>
            </w:r>
          </w:p>
        </w:tc>
        <w:tc>
          <w:tcPr>
            <w:tcW w:type="dxa" w:w="7560"/>
          </w:tcPr>
          <w:p>
            <w:r>
              <w:rPr>
                <w:sz w:val="20"/>
              </w:rPr>
              <w:t>The capital equipment will remain in use at the proposed study sites throughout its lifespan, contributing to an improved hydrogeologic understanding.</w:t>
              <w:br/>
            </w:r>
            <w:r>
              <w:rPr>
                <w:b/>
                <w:sz w:val="20"/>
              </w:rPr>
              <w:t xml:space="preserve">Additional Explanation : </w:t>
            </w:r>
            <w:r>
              <w:rPr>
                <w:sz w:val="20"/>
              </w:rPr>
              <w:t>The capital equipment will remain in use at the proposed study sites throughout its lifespan, contributing to an improved hydrogeologic understanding.</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Fiber Optic Transducer system (Chassis, 2-channel light conditioner FO transducers, fiber optic cables, cDAQ-9178 CompactDAQ Chassis, NI-9205 for FOXDs and NI9933 37-pin DSUB connector kit)</w:t>
            </w:r>
          </w:p>
        </w:tc>
        <w:tc>
          <w:tcPr>
            <w:tcW w:type="dxa" w:w="7560"/>
          </w:tcPr>
          <w:p>
            <w:r>
              <w:rPr>
                <w:sz w:val="20"/>
              </w:rPr>
              <w:t>The capital equipment will remain in use at the proposed study sites throughout its lifespan, contributing to an improved hydrogeologic understanding.</w:t>
              <w:br/>
            </w:r>
            <w:r>
              <w:rPr>
                <w:b/>
                <w:sz w:val="20"/>
              </w:rPr>
              <w:t xml:space="preserve">Additional Explanation : </w:t>
            </w:r>
            <w:r>
              <w:rPr>
                <w:sz w:val="20"/>
              </w:rPr>
              <w:t>The capital equipment will remain in use at the proposed study sites throughout its lifespan, contributing to an improved hydrogeologic understanding.</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MHPS unit (Ruber Cylinders, Custom Collars, clamps, pipe connectors, 40 pvc pipe, camlocks and push connectors)</w:t>
            </w:r>
          </w:p>
        </w:tc>
        <w:tc>
          <w:tcPr>
            <w:tcW w:type="dxa" w:w="7560"/>
          </w:tcPr>
          <w:p>
            <w:r>
              <w:rPr>
                <w:sz w:val="20"/>
              </w:rPr>
              <w:t>The capital equipment will remain in use at the proposed study sites throughout its lifespan, contributing to an improved hydrogeologic understanding.</w:t>
              <w:br/>
            </w:r>
            <w:r>
              <w:rPr>
                <w:b/>
                <w:sz w:val="20"/>
              </w:rPr>
              <w:t xml:space="preserve">Additional Explanation : </w:t>
            </w:r>
            <w:r>
              <w:rPr>
                <w:sz w:val="20"/>
              </w:rPr>
              <w:t>The capital equipment will remain in use at the proposed study sites throughout its lifespan, contributing to an improved hydrogeologic understanding.</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Domestic conference trip for one person</w:t>
            </w:r>
          </w:p>
        </w:tc>
        <w:tc>
          <w:tcPr>
            <w:tcW w:type="dxa" w:w="7560"/>
          </w:tcPr>
          <w:p>
            <w:r>
              <w:rPr>
                <w:sz w:val="20"/>
              </w:rPr>
              <w:t>This travel is to participate in a formal presentation of project findings at the American Geophysical Union (AGU) conference. AGU is a major conference for MAR-related topics. Important information can be acquired, and project outcomes can be disseminated by attending and presenting at the conference.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$650,000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6dca2657-647.pdf</w:t>
          </w:r>
        </w:hyperlink>
      </w:r>
    </w:p>
    <w:p>
      <w:pPr>
        <w:pStyle w:val="Heading4"/>
        <w:spacing w:before="40" w:after="20"/>
      </w:pPr>
      <w:r>
        <w:rPr>
          <w:b/>
          <w:i/>
          <w:color w:val="000000"/>
          <w:sz w:val="24"/>
        </w:rPr>
        <w:t>Alternate Text for Visual Component</w:t>
      </w:r>
    </w:p>
    <w:p>
      <w:r>
        <w:t>Minnesota urgently needs a practical tool that can predict the movements of contaminants in aquifers. Through this project, we develop and demonstrate a software program that predicts the fate and movement of contaminants such as PFAS, chloride, nitrate, and pathogens in Minnesota’s fractured aquifers....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from Barr</w:t>
            </w:r>
          </w:p>
        </w:tc>
        <w:tc>
          <w:tcPr>
            <w:tcW w:type="dxa" w:w="5400"/>
          </w:tcPr>
          <w:p>
            <w:r>
              <w:rPr>
                <w:sz w:val="20"/>
              </w:rPr>
            </w:r>
            <w:r>
              <w:rPr>
                <w:color w:val="000000" w:themeColor="hyperlink"/>
                <w:sz w:val="20"/>
                <w:u w:val="single"/>
              </w:rPr>
              <w:hyperlink r:id="rId13">
                <w:r>
                  <w:rPr/>
                  <w:t>ad18cfd3-6f3.pdf</w:t>
                </w:r>
              </w:hyperlink>
            </w:r>
          </w:p>
        </w:tc>
      </w:tr>
      <w:tr>
        <w:tc>
          <w:tcPr>
            <w:tcW w:type="dxa" w:w="5400"/>
          </w:tcPr>
          <w:p>
            <w:r>
              <w:rPr>
                <w:sz w:val="20"/>
              </w:rPr>
              <w:t>Support letter from Geosyntec</w:t>
            </w:r>
          </w:p>
        </w:tc>
        <w:tc>
          <w:tcPr>
            <w:tcW w:type="dxa" w:w="5400"/>
          </w:tcPr>
          <w:p>
            <w:r>
              <w:rPr>
                <w:sz w:val="20"/>
              </w:rPr>
            </w:r>
            <w:r>
              <w:rPr>
                <w:color w:val="000000" w:themeColor="hyperlink"/>
                <w:sz w:val="20"/>
                <w:u w:val="single"/>
              </w:rPr>
              <w:hyperlink r:id="rId14">
                <w:r>
                  <w:rPr/>
                  <w:t>ce671a09-4ea.pdf</w:t>
                </w:r>
              </w:hyperlink>
            </w:r>
          </w:p>
        </w:tc>
      </w:tr>
      <w:tr>
        <w:tc>
          <w:tcPr>
            <w:tcW w:type="dxa" w:w="5400"/>
          </w:tcPr>
          <w:p>
            <w:r>
              <w:rPr>
                <w:sz w:val="20"/>
              </w:rPr>
              <w:t>Support letter from Bay West</w:t>
            </w:r>
          </w:p>
        </w:tc>
        <w:tc>
          <w:tcPr>
            <w:tcW w:type="dxa" w:w="5400"/>
          </w:tcPr>
          <w:p>
            <w:r>
              <w:rPr>
                <w:sz w:val="20"/>
              </w:rPr>
            </w:r>
            <w:r>
              <w:rPr>
                <w:color w:val="000000" w:themeColor="hyperlink"/>
                <w:sz w:val="20"/>
                <w:u w:val="single"/>
              </w:rPr>
              <w:hyperlink r:id="rId15">
                <w:r>
                  <w:rPr/>
                  <w:t>8860f00d-92c.pdf</w:t>
                </w:r>
              </w:hyperlink>
            </w:r>
          </w:p>
        </w:tc>
      </w:tr>
      <w:tr>
        <w:tc>
          <w:tcPr>
            <w:tcW w:type="dxa" w:w="5400"/>
          </w:tcPr>
          <w:p>
            <w:r>
              <w:rPr>
                <w:sz w:val="20"/>
              </w:rPr>
              <w:t>Support letter from Freshwater</w:t>
            </w:r>
          </w:p>
        </w:tc>
        <w:tc>
          <w:tcPr>
            <w:tcW w:type="dxa" w:w="5400"/>
          </w:tcPr>
          <w:p>
            <w:r>
              <w:rPr>
                <w:sz w:val="20"/>
              </w:rPr>
            </w:r>
            <w:r>
              <w:rPr>
                <w:color w:val="000000" w:themeColor="hyperlink"/>
                <w:sz w:val="20"/>
                <w:u w:val="single"/>
              </w:rPr>
              <w:hyperlink r:id="rId16">
                <w:r>
                  <w:rPr/>
                  <w:t>a15c7b9c-ae3.pdf</w:t>
                </w:r>
              </w:hyperlink>
            </w:r>
          </w:p>
        </w:tc>
      </w:tr>
      <w:tr>
        <w:tc>
          <w:tcPr>
            <w:tcW w:type="dxa" w:w="5400"/>
          </w:tcPr>
          <w:p>
            <w:r>
              <w:rPr>
                <w:sz w:val="20"/>
              </w:rPr>
              <w:t>Support letter from Minnesota Department of Health</w:t>
            </w:r>
          </w:p>
        </w:tc>
        <w:tc>
          <w:tcPr>
            <w:tcW w:type="dxa" w:w="5400"/>
          </w:tcPr>
          <w:p>
            <w:r>
              <w:rPr>
                <w:sz w:val="20"/>
              </w:rPr>
            </w:r>
            <w:r>
              <w:rPr>
                <w:color w:val="000000" w:themeColor="hyperlink"/>
                <w:sz w:val="20"/>
                <w:u w:val="single"/>
              </w:rPr>
              <w:hyperlink r:id="rId17">
                <w:r>
                  <w:rPr/>
                  <w:t>e88d8f39-1d7.pdf</w:t>
                </w:r>
              </w:hyperlink>
            </w:r>
          </w:p>
        </w:tc>
      </w:tr>
      <w:tr>
        <w:tc>
          <w:tcPr>
            <w:tcW w:type="dxa" w:w="5400"/>
          </w:tcPr>
          <w:p>
            <w:r>
              <w:rPr>
                <w:sz w:val="20"/>
              </w:rPr>
              <w:t>Support letter from Metropolitan Council</w:t>
            </w:r>
          </w:p>
        </w:tc>
        <w:tc>
          <w:tcPr>
            <w:tcW w:type="dxa" w:w="5400"/>
          </w:tcPr>
          <w:p>
            <w:r>
              <w:rPr>
                <w:sz w:val="20"/>
              </w:rPr>
            </w:r>
            <w:r>
              <w:rPr>
                <w:color w:val="000000" w:themeColor="hyperlink"/>
                <w:sz w:val="20"/>
                <w:u w:val="single"/>
              </w:rPr>
              <w:hyperlink r:id="rId18">
                <w:r>
                  <w:rPr/>
                  <w:t>b221e3a0-790.pdf</w:t>
                </w:r>
              </w:hyperlink>
            </w:r>
          </w:p>
        </w:tc>
      </w:tr>
      <w:tr>
        <w:tc>
          <w:tcPr>
            <w:tcW w:type="dxa" w:w="5400"/>
          </w:tcPr>
          <w:p>
            <w:r>
              <w:rPr>
                <w:sz w:val="20"/>
              </w:rPr>
              <w:t>SPA letter UMN</w:t>
            </w:r>
          </w:p>
        </w:tc>
        <w:tc>
          <w:tcPr>
            <w:tcW w:type="dxa" w:w="5400"/>
          </w:tcPr>
          <w:p>
            <w:r>
              <w:rPr>
                <w:sz w:val="20"/>
              </w:rPr>
            </w:r>
            <w:r>
              <w:rPr>
                <w:color w:val="000000" w:themeColor="hyperlink"/>
                <w:sz w:val="20"/>
                <w:u w:val="single"/>
              </w:rPr>
              <w:hyperlink r:id="rId19">
                <w:r>
                  <w:rPr/>
                  <w:t>b3b9c24b-24b.pdf</w:t>
                </w:r>
              </w:hyperlink>
            </w:r>
          </w:p>
        </w:tc>
      </w:tr>
      <w:tr>
        <w:tc>
          <w:tcPr>
            <w:tcW w:type="dxa" w:w="5400"/>
          </w:tcPr>
          <w:p>
            <w:r>
              <w:rPr>
                <w:sz w:val="20"/>
              </w:rPr>
              <w:t>2025-110 Research Addendum revised_final</w:t>
            </w:r>
          </w:p>
        </w:tc>
        <w:tc>
          <w:tcPr>
            <w:tcW w:type="dxa" w:w="5400"/>
          </w:tcPr>
          <w:p>
            <w:r>
              <w:rPr>
                <w:sz w:val="20"/>
              </w:rPr>
            </w:r>
            <w:r>
              <w:rPr>
                <w:color w:val="000000" w:themeColor="hyperlink"/>
                <w:sz w:val="20"/>
                <w:u w:val="single"/>
              </w:rPr>
              <w:hyperlink r:id="rId20">
                <w:r>
                  <w:rPr/>
                  <w:t>b55f1278-ba8.docx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Edits have been made to address the comments. Milestones have been added to Activity 1, and the requested changes have been made to the Activity 3 description.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Victoria Troxler, University of Minnesota, vtroxler@umn.edu</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dca2657-647.pdf" TargetMode="External"/><Relationship Id="rId13" Type="http://schemas.openxmlformats.org/officeDocument/2006/relationships/hyperlink" Target="https://lccmrprojectmgmt.leg.mn/media/attachments/ad18cfd3-6f3.pdf" TargetMode="External"/><Relationship Id="rId14" Type="http://schemas.openxmlformats.org/officeDocument/2006/relationships/hyperlink" Target="https://lccmrprojectmgmt.leg.mn/media/attachments/ce671a09-4ea.pdf" TargetMode="External"/><Relationship Id="rId15" Type="http://schemas.openxmlformats.org/officeDocument/2006/relationships/hyperlink" Target="https://lccmrprojectmgmt.leg.mn/media/attachments/8860f00d-92c.pdf" TargetMode="External"/><Relationship Id="rId16" Type="http://schemas.openxmlformats.org/officeDocument/2006/relationships/hyperlink" Target="https://lccmrprojectmgmt.leg.mn/media/attachments/a15c7b9c-ae3.pdf" TargetMode="External"/><Relationship Id="rId17" Type="http://schemas.openxmlformats.org/officeDocument/2006/relationships/hyperlink" Target="https://lccmrprojectmgmt.leg.mn/media/attachments/e88d8f39-1d7.pdf" TargetMode="External"/><Relationship Id="rId18" Type="http://schemas.openxmlformats.org/officeDocument/2006/relationships/hyperlink" Target="https://lccmrprojectmgmt.leg.mn/media/attachments/b221e3a0-790.pdf" TargetMode="External"/><Relationship Id="rId19" Type="http://schemas.openxmlformats.org/officeDocument/2006/relationships/hyperlink" Target="https://lccmrprojectmgmt.leg.mn/media/attachments/b3b9c24b-24b.pdf" TargetMode="External"/><Relationship Id="rId20" Type="http://schemas.openxmlformats.org/officeDocument/2006/relationships/hyperlink" Target="https://lccmrprojectmgmt.leg.mn/media/attachments/b55f1278-ba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Predicting Contaminant Movement in Minnesota’s Fractured Aquifers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