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2025-087</w:t>
      </w:r>
    </w:p>
    <w:p>
      <w:r>
        <w:rPr>
          <w:b/>
        </w:rPr>
        <w:t xml:space="preserve">Staff Lead: </w:t>
      </w:r>
      <w:r>
        <w:t>Noah Fribley</w:t>
      </w:r>
    </w:p>
    <w:p>
      <w:r>
        <w:rPr>
          <w:b/>
        </w:rPr>
        <w:t xml:space="preserve">Date this document submitted to LCCMR: </w:t>
      </w:r>
      <w:r>
        <w:t>June 5, 2025</w:t>
      </w:r>
    </w:p>
    <w:p>
      <w:r>
        <w:rPr>
          <w:b/>
        </w:rPr>
        <w:t xml:space="preserve">Project Title: </w:t>
      </w:r>
      <w:r>
        <w:t>Enhancing Degradation of Emerging Contaminants via Microbial Starvation</w:t>
      </w:r>
    </w:p>
    <w:p>
      <w:r>
        <w:rPr>
          <w:b/>
        </w:rPr>
        <w:t xml:space="preserve">Project Budget: </w:t>
      </w:r>
      <w:r>
        <w:t>$390,000</w:t>
      </w:r>
    </w:p>
    <w:p/>
    <w:p>
      <w:pPr>
        <w:pStyle w:val="Heading2"/>
        <w:spacing w:before="0" w:after="80"/>
      </w:pPr>
      <w:r>
        <w:rPr>
          <w:b/>
          <w:color w:val="2C559C"/>
          <w:sz w:val="28"/>
        </w:rPr>
        <w:t>Project Manager Information</w:t>
      </w:r>
    </w:p>
    <w:p>
      <w:r>
        <w:rPr>
          <w:b/>
        </w:rPr>
        <w:t xml:space="preserve">Name: </w:t>
      </w:r>
      <w:r>
        <w:t>Paige Novak</w:t>
      </w:r>
    </w:p>
    <w:p>
      <w:r>
        <w:rPr>
          <w:b/>
        </w:rPr>
        <w:t xml:space="preserve">Organization: </w:t>
      </w:r>
      <w:r>
        <w:t>U of MN - College of Science and Engineering</w:t>
      </w:r>
    </w:p>
    <w:p>
      <w:r>
        <w:rPr>
          <w:b/>
        </w:rPr>
        <w:t xml:space="preserve">Office Telephone: </w:t>
      </w:r>
      <w:r>
        <w:t>(612) 626-9846</w:t>
      </w:r>
    </w:p>
    <w:p>
      <w:r>
        <w:rPr>
          <w:b/>
        </w:rPr>
        <w:t xml:space="preserve">Email: </w:t>
      </w:r>
      <w:r>
        <w:t>novak010@umn.edu</w:t>
      </w:r>
    </w:p>
    <w:p>
      <w:r>
        <w:rPr>
          <w:b/>
        </w:rPr>
        <w:t xml:space="preserve">Web Address: </w:t>
      </w:r>
      <w:r>
        <w:t>https://cse.umn.edu/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04g</w:t>
      </w:r>
    </w:p>
    <w:p>
      <w:r>
        <w:rPr>
          <w:b/>
        </w:rPr>
        <w:t xml:space="preserve">Appropriation Language: </w:t>
      </w:r>
      <w:r>
        <w:t xml:space="preserve">$390,000 the first year is from the trust fund to the Board of Regents of the University of Minnesota to study how wastewater treatment systems can be improved to more effectively biodegrade mixtures of pharmaceuticals, pesticides, and other contaminants of emerging concern and protect Minnesota's water resources.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Our research will provide concrete data to inexpensively improve the design of wastewater systems to biodegrade mixtures of pharmaceuticals, pesticides, and other contaminants of emerging concern, protecting our water resources.</w:t>
      </w:r>
    </w:p>
    <w:p>
      <w:pPr>
        <w:spacing w:after="60"/>
      </w:pPr>
      <w:r>
        <w:rPr>
          <w:b/>
        </w:rPr>
        <w:t>Describe the opportunity or problem your proposal seeks to address. Include any relevant background information.</w:t>
      </w:r>
    </w:p>
    <w:p>
      <w:r>
        <w:t>Contaminants of emerging concern (CECs), such as pesticides and pharmaceuticals, are present in the environment and cause ecological or human health impacts (antimicrobial resistance, endocrine disruption) at low concentrations. CECs are found in water throughout lakes and rivers Minnesota. We must improve our wastewater treatment to remove or degrade CECs to protect our water supplies and enable industrial reuse of water whenever possible. Though bacteria can biodegrade many CECs, it is unpredictable and highly dependent on treatment conditions. The conditions of current biological treatment methods are often not optimal for CEC removal, and thus insufficient to prevent release of CECs or safeguard health during water reuse. Improvements are needed to protect ecological and human health from the impacts of CECs.</w:t>
        <w:br/>
        <w:br/>
        <w:t>Interestingly, research has shown that when bacteria are “starved”, they will adapt by degrading a larger variety of compounds, including CECs, and degrading them to much lower residual concentrations—essentially, “eating everything on their plate” while simultaneously “cleaning their plate.”  Unfortunately, although observed, the phenomenon is not understood sufficiently to utilize it for the development, design, and implementation of treatment systems for a wide variety of CECs in wastewater.</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CEC biodegradation is an optimal choice for treatment because it is inexpensive, it transforms CECs to non-harmful products, takes advantage of existing infrastructure, and is less energy intensive than other physical and chemical treatment options. Our proposed solution to the challenge of CECs in waste- and surface water is to stimulate better and more complete CEC biodegradation by determining appropriation treatment conditions that enable bacteria to effectively degrade more of these compounds to lower residual concentrations. </w:t>
        <w:br/>
        <w:br/>
        <w:t xml:space="preserve">We need to better understand “starvation behavior” in bacteria so that treatment systems can be designed to stimulate this phenomenon predictably. We must understand (1) which types of CECs commonly found in Minnesota can be biodegraded simultaneously by bacteria under carbon-limited (starvation) conditions, (2) to what residual concentration are these CECs degraded, and (3) the carbon (i.e., bacterial food) concentration that induces this kind of behavior, essentially, how “hungry” do the bacteria need to be to effectively and efficiently degrade CECs. </w:t>
        <w:br/>
        <w:br/>
        <w:t>This research will answer these fundamental questions, providing guidance that can be used to make simple and concrete engineering decisions to improve treatment systems to optimize them for CEC removal.</w:t>
      </w:r>
    </w:p>
    <w:p>
      <w:pPr>
        <w:spacing w:after="60"/>
      </w:pPr>
      <w:r>
        <w:rPr>
          <w:b/>
        </w:rPr>
        <w:t xml:space="preserve">What are the specific project outcomes as they relate to the public purpose of protection, conservation, preservation, and enhancement of the state’s natural resources? </w:t>
      </w:r>
    </w:p>
    <w:p>
      <w:r>
        <w:t>We will understand classes/categories of CECs commonly found in Minnesota waters that degrade readily under biological starvation conditions, enabling appropriate treatment decisions to be made. We will also determine the required conditions to elicit this response from bacteria. These outcomes will provide specific data (e.g., target residence times or carbon concentrations) that can be used to improve design by changing the residence time in biological treatment systems, manage polishing ponds and natural treatment systems, or use new technologies that create bacterial starvation conditions, such as membrane bioreactor systems, to effectively remove CECs.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Determine how bacteria grown with abundant versus limited food sources differ in the rate and extent of CEC biodegradation</w:t>
      </w:r>
    </w:p>
    <w:p>
      <w:r>
        <w:rPr>
          <w:b/>
        </w:rPr>
        <w:t xml:space="preserve">Activity Budget: </w:t>
      </w:r>
      <w:r>
        <w:t>$260,000</w:t>
      </w:r>
    </w:p>
    <w:p>
      <w:r>
        <w:rPr>
          <w:b/>
        </w:rPr>
        <w:t xml:space="preserve">Activity Description: </w:t>
        <w:br/>
      </w:r>
      <w:r>
        <w:t xml:space="preserve">We will establish microbial communities in triplicate aerobic continuous-flow reactors cultured under either (1) starvation conditions or (2) typical growth conditions. Reactors will be seeded with biomass from a membrane bioreactor in Hutchinson, MN, which should be adapted to starvation conditions. The carbon concentration flowing into and out of the reactors and the bacteria flowing out will be measured. The microbial community will be analyzed to see how it changes over time and when it stabilizes. </w:t>
        <w:br/>
        <w:br/>
        <w:t>After the system has stabilized, the reactor influent will be amended with a mixture of 9 CECs, all commonly found in Minnesota waters (atenolol, atrazine, carbamazepine, DEET, estrone, imidacloprid, metformin, metolachlor, sulfamethoxazole). These CECs represent different likely degradation pathways (oxidation, substitution, or reduction), allowing us to extend what we learn to other CECs. The residual concentration of each CEC in the mixture will be determined from the effluent of the reactors. The microbial community and the activity of certain known CEC biodegradation enzymes will be monitored to determine the extent that community shifts versus behavior changes are responsible for the CEC degradation patterns observed. Effluent will be collected and placed in batch reactors to assess if additional time leads to further CEC degradation.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Verification of CEC extraction and analysis method</w:t>
            </w:r>
          </w:p>
        </w:tc>
        <w:tc>
          <w:tcPr>
            <w:tcW w:type="dxa" w:w="2160"/>
          </w:tcPr>
          <w:p>
            <w:pPr>
              <w:jc w:val="right"/>
            </w:pPr>
            <w:r>
              <w:rPr>
                <w:sz w:val="20"/>
              </w:rPr>
              <w:t>December 31, 2025</w:t>
            </w:r>
          </w:p>
        </w:tc>
      </w:tr>
      <w:tr>
        <w:tc>
          <w:tcPr>
            <w:tcW w:type="dxa" w:w="8640"/>
          </w:tcPr>
          <w:p>
            <w:r>
              <w:rPr>
                <w:sz w:val="20"/>
              </w:rPr>
              <w:t>Development and analysis of microbial communities under conditions of abundant vs. limiting food sources</w:t>
            </w:r>
          </w:p>
        </w:tc>
        <w:tc>
          <w:tcPr>
            <w:tcW w:type="dxa" w:w="2160"/>
          </w:tcPr>
          <w:p>
            <w:pPr>
              <w:jc w:val="right"/>
            </w:pPr>
            <w:r>
              <w:rPr>
                <w:sz w:val="20"/>
              </w:rPr>
              <w:t>May 31, 2026</w:t>
            </w:r>
          </w:p>
        </w:tc>
      </w:tr>
      <w:tr>
        <w:tc>
          <w:tcPr>
            <w:tcW w:type="dxa" w:w="8640"/>
          </w:tcPr>
          <w:p>
            <w:r>
              <w:rPr>
                <w:sz w:val="20"/>
              </w:rPr>
              <w:t>Isolation of wastewater bacteria</w:t>
            </w:r>
          </w:p>
        </w:tc>
        <w:tc>
          <w:tcPr>
            <w:tcW w:type="dxa" w:w="2160"/>
          </w:tcPr>
          <w:p>
            <w:pPr>
              <w:jc w:val="right"/>
            </w:pPr>
            <w:r>
              <w:rPr>
                <w:sz w:val="20"/>
              </w:rPr>
              <w:t>May 31, 2026</w:t>
            </w:r>
          </w:p>
        </w:tc>
      </w:tr>
      <w:tr>
        <w:tc>
          <w:tcPr>
            <w:tcW w:type="dxa" w:w="8640"/>
          </w:tcPr>
          <w:p>
            <w:r>
              <w:rPr>
                <w:sz w:val="20"/>
              </w:rPr>
              <w:t>Determination of biodegradation extent of the CEC mixture when microbial communities are starved or not</w:t>
            </w:r>
          </w:p>
        </w:tc>
        <w:tc>
          <w:tcPr>
            <w:tcW w:type="dxa" w:w="2160"/>
          </w:tcPr>
          <w:p>
            <w:pPr>
              <w:jc w:val="right"/>
            </w:pPr>
            <w:r>
              <w:rPr>
                <w:sz w:val="20"/>
              </w:rPr>
              <w:t>December 31, 2026</w:t>
            </w:r>
          </w:p>
        </w:tc>
      </w:tr>
      <w:tr>
        <w:tc>
          <w:tcPr>
            <w:tcW w:type="dxa" w:w="8640"/>
          </w:tcPr>
          <w:p>
            <w:r>
              <w:rPr>
                <w:sz w:val="20"/>
              </w:rPr>
              <w:t>Determination of biodegradation extent of the CEC mixture when microbial isolates are starved or not</w:t>
            </w:r>
          </w:p>
        </w:tc>
        <w:tc>
          <w:tcPr>
            <w:tcW w:type="dxa" w:w="2160"/>
          </w:tcPr>
          <w:p>
            <w:pPr>
              <w:jc w:val="right"/>
            </w:pPr>
            <w:r>
              <w:rPr>
                <w:sz w:val="20"/>
              </w:rPr>
              <w:t>March 31, 2027</w:t>
            </w:r>
          </w:p>
        </w:tc>
      </w:tr>
      <w:tr>
        <w:tc>
          <w:tcPr>
            <w:tcW w:type="dxa" w:w="8640"/>
          </w:tcPr>
          <w:p>
            <w:r>
              <w:rPr>
                <w:sz w:val="20"/>
              </w:rPr>
              <w:t>Determine how changes in the microbial community structure versus activity correspond to enhanced CEC biodegradation</w:t>
            </w:r>
          </w:p>
        </w:tc>
        <w:tc>
          <w:tcPr>
            <w:tcW w:type="dxa" w:w="2160"/>
          </w:tcPr>
          <w:p>
            <w:pPr>
              <w:jc w:val="right"/>
            </w:pPr>
            <w:r>
              <w:rPr>
                <w:sz w:val="20"/>
              </w:rPr>
              <w:t>May 31, 2027</w:t>
            </w:r>
          </w:p>
        </w:tc>
      </w:tr>
    </w:tbl>
    <w:p/>
    <w:p>
      <w:pPr>
        <w:pStyle w:val="Heading3"/>
        <w:spacing w:after="60"/>
      </w:pPr>
      <w:r>
        <w:rPr>
          <w:b/>
          <w:color w:val="254885"/>
          <w:sz w:val="26"/>
        </w:rPr>
        <w:t>Activity 2: Determine the “starvation threshold” at which bacteria develop an ability to biodegrade more CECs simultaneously and to a lower concentration</w:t>
      </w:r>
    </w:p>
    <w:p>
      <w:r>
        <w:rPr>
          <w:b/>
        </w:rPr>
        <w:t xml:space="preserve">Activity Budget: </w:t>
      </w:r>
      <w:r>
        <w:t>$130,000</w:t>
      </w:r>
    </w:p>
    <w:p>
      <w:r>
        <w:rPr>
          <w:b/>
        </w:rPr>
        <w:t xml:space="preserve">Activity Description: </w:t>
        <w:br/>
      </w:r>
      <w:r>
        <w:t>Using the same continuous-flow reactor approach described in Activity 1, we will alter the residence time systematically between 3 hours (ample food available) and 100 hours (starvation).  Once the carbon concentration and the bacteria flowing out of the reactors are stabilized for each condition, they will be amended with the CEC mixture, and the residual concentration of each CEC in the mixture will be determined from the effluent. The carbon concentration and microbial concentration will be monitored throughout. Six different residence times will initially be tested (3, 6, 10, 20, 40, and 100 hours), which will be altered as needed. Residual CEC and organic carbon concentrations will be measured over time, allowing for replication over time.</w:t>
        <w:br/>
        <w:br/>
        <w:t>We expect that as we increase the residence time to be longer than about 10 hours, enhanced CEC degradation will be observed. This expectation is based on what we have observed in wastewater treatment systems with estrone and what others have observed in laboratory studies with both mixed and pure cultures. Through our careful selection of CECs, focusing on their degradation mechanisms and compound classes, the results should be generalizable to additional compounds beyond those that we are testing.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Development of microbial communities under a range of conditions, from starved to grown under abundance</w:t>
            </w:r>
          </w:p>
        </w:tc>
        <w:tc>
          <w:tcPr>
            <w:tcW w:type="dxa" w:w="2160"/>
          </w:tcPr>
          <w:p>
            <w:pPr>
              <w:jc w:val="right"/>
            </w:pPr>
            <w:r>
              <w:rPr>
                <w:sz w:val="20"/>
              </w:rPr>
              <w:t>November 30, 2027</w:t>
            </w:r>
          </w:p>
        </w:tc>
      </w:tr>
      <w:tr>
        <w:tc>
          <w:tcPr>
            <w:tcW w:type="dxa" w:w="8640"/>
          </w:tcPr>
          <w:p>
            <w:r>
              <w:rPr>
                <w:sz w:val="20"/>
              </w:rPr>
              <w:t>Development of microbial isolates under a range of conditions, from starved to grown under abundance</w:t>
            </w:r>
          </w:p>
        </w:tc>
        <w:tc>
          <w:tcPr>
            <w:tcW w:type="dxa" w:w="2160"/>
          </w:tcPr>
          <w:p>
            <w:pPr>
              <w:jc w:val="right"/>
            </w:pPr>
            <w:r>
              <w:rPr>
                <w:sz w:val="20"/>
              </w:rPr>
              <w:t>January 31, 2028</w:t>
            </w:r>
          </w:p>
        </w:tc>
      </w:tr>
      <w:tr>
        <w:tc>
          <w:tcPr>
            <w:tcW w:type="dxa" w:w="8640"/>
          </w:tcPr>
          <w:p>
            <w:r>
              <w:rPr>
                <w:sz w:val="20"/>
              </w:rPr>
              <w:t>Determination of CEC biodegradation extent ranging from starvation to abundance for isolates and mixed communities</w:t>
            </w:r>
          </w:p>
        </w:tc>
        <w:tc>
          <w:tcPr>
            <w:tcW w:type="dxa" w:w="2160"/>
          </w:tcPr>
          <w:p>
            <w:pPr>
              <w:jc w:val="right"/>
            </w:pPr>
            <w:r>
              <w:rPr>
                <w:sz w:val="20"/>
              </w:rPr>
              <w:t>May 31, 2028</w:t>
            </w:r>
          </w:p>
        </w:tc>
      </w:tr>
      <w:tr>
        <w:tc>
          <w:tcPr>
            <w:tcW w:type="dxa" w:w="8640"/>
          </w:tcPr>
          <w:p>
            <w:r>
              <w:rPr>
                <w:sz w:val="20"/>
              </w:rPr>
              <w:t>Synthesis of results to facilitate extension of observations to real engineered systems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John Glatzmaier</w:t>
            </w:r>
          </w:p>
        </w:tc>
        <w:tc>
          <w:tcPr>
            <w:tcW w:type="dxa" w:w="1440"/>
          </w:tcPr>
          <w:p>
            <w:r>
              <w:rPr>
                <w:sz w:val="20"/>
              </w:rPr>
              <w:t>Short Elliott Hendrickson Inc. (SEH®)</w:t>
            </w:r>
          </w:p>
        </w:tc>
        <w:tc>
          <w:tcPr>
            <w:tcW w:type="dxa" w:w="6840"/>
          </w:tcPr>
          <w:p>
            <w:r>
              <w:rPr>
                <w:sz w:val="20"/>
              </w:rPr>
              <w:t>SEH® is a regional engineering firm with strong Minnesota contacts. We will share results with them in a timely manner and they will help to disseminate the results to their clients and regulatory contacts.</w:t>
            </w:r>
          </w:p>
        </w:tc>
        <w:tc>
          <w:tcPr>
            <w:tcW w:type="dxa" w:w="1080"/>
          </w:tcPr>
          <w:p>
            <w:r>
              <w:rPr>
                <w:sz w:val="20"/>
              </w:rPr>
              <w:t>No</w:t>
            </w:r>
          </w:p>
        </w:tc>
      </w:tr>
      <w:tr>
        <w:tc>
          <w:tcPr>
            <w:tcW w:type="dxa" w:w="1440"/>
          </w:tcPr>
          <w:p>
            <w:r>
              <w:rPr>
                <w:sz w:val="20"/>
              </w:rPr>
              <w:t>Scott Kyser</w:t>
            </w:r>
          </w:p>
        </w:tc>
        <w:tc>
          <w:tcPr>
            <w:tcW w:type="dxa" w:w="1440"/>
          </w:tcPr>
          <w:p>
            <w:r>
              <w:rPr>
                <w:sz w:val="20"/>
              </w:rPr>
              <w:t>Minnesota Pollution Control Agency</w:t>
            </w:r>
          </w:p>
        </w:tc>
        <w:tc>
          <w:tcPr>
            <w:tcW w:type="dxa" w:w="6840"/>
          </w:tcPr>
          <w:p>
            <w:r>
              <w:rPr>
                <w:sz w:val="20"/>
              </w:rPr>
              <w:t>We will share results with Scott and the MPCA in a timely manner and they will help to disseminate the results to wastewater treatment facilities across Minnesota.</w:t>
            </w:r>
          </w:p>
        </w:tc>
        <w:tc>
          <w:tcPr>
            <w:tcW w:type="dxa" w:w="1080"/>
          </w:tcPr>
          <w:p>
            <w:r>
              <w:rPr>
                <w:sz w:val="20"/>
              </w:rPr>
              <w:t>No</w:t>
            </w:r>
          </w:p>
        </w:tc>
      </w:tr>
      <w:tr>
        <w:tc>
          <w:tcPr>
            <w:tcW w:type="dxa" w:w="1440"/>
          </w:tcPr>
          <w:p>
            <w:r>
              <w:rPr>
                <w:sz w:val="20"/>
              </w:rPr>
              <w:t>William Arnold</w:t>
            </w:r>
          </w:p>
        </w:tc>
        <w:tc>
          <w:tcPr>
            <w:tcW w:type="dxa" w:w="1440"/>
          </w:tcPr>
          <w:p>
            <w:r>
              <w:rPr>
                <w:sz w:val="20"/>
              </w:rPr>
              <w:t>University of Minnesota</w:t>
            </w:r>
          </w:p>
        </w:tc>
        <w:tc>
          <w:tcPr>
            <w:tcW w:type="dxa" w:w="6840"/>
          </w:tcPr>
          <w:p>
            <w:r>
              <w:rPr>
                <w:sz w:val="20"/>
              </w:rPr>
              <w:t>Co-PI.</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The target audience for results from this research will be environmental engineers and scientists in academia, professionals in the area of wastewater treatment, city managers and other local government officials, the Minnesota Pollution Control Agency, and Metropolitan Council Environmental Services (MCES). Results will be disseminated through scholarly publications in peer-reviewed journals such as Environmental Science and Technology and Environmental Science: Water Research and Technology. Results from the research project will also be presented at regional conferences such as the Conference on the Environment and seminars and roundtables hosted by project partners (MPCA) and area consulting firms. </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We will disseminate results through publications, conferences and contacts to Minnesota Pollution Control Agency personnel, wastewater treatment plants, and consultants. This complements our current research and is also an extension of our previous research on the biodegradation of the human hormone estrone in wastewater. The UMN and Novak are partners on a large grant focused on water technology and funded by the National Science Foundation at $15M/2 years, with the potential for additional investments of up to $145M/8 years. This effort will be leveraged across work at UMN and in Novak’s laboratory on water technology.</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Determining Influence of Insecticides on Algal Blooms</w:t>
            </w:r>
          </w:p>
        </w:tc>
        <w:tc>
          <w:tcPr>
            <w:tcW w:type="dxa" w:w="4680"/>
          </w:tcPr>
          <w:p>
            <w:r>
              <w:rPr>
                <w:sz w:val="20"/>
              </w:rPr>
              <w:t>M.L. 2019, First Special Session, Chp. 4, Art. 2, Sec. 2, Subd. 04a</w:t>
            </w:r>
          </w:p>
        </w:tc>
        <w:tc>
          <w:tcPr>
            <w:tcW w:type="dxa" w:w="1440"/>
          </w:tcPr>
          <w:p>
            <w:pPr>
              <w:jc w:val="right"/>
            </w:pPr>
            <w:r>
              <w:rPr>
                <w:sz w:val="20"/>
              </w:rPr>
              <w:t>$350,000</w:t>
            </w:r>
          </w:p>
        </w:tc>
      </w:tr>
      <w:tr>
        <w:tc>
          <w:tcPr>
            <w:tcW w:type="dxa" w:w="4680"/>
          </w:tcPr>
          <w:p>
            <w:r>
              <w:rPr>
                <w:sz w:val="20"/>
              </w:rPr>
              <w:t>Benign Design: Environmental Studies Leading to Sustainable Pharmaceuticals</w:t>
            </w:r>
          </w:p>
        </w:tc>
        <w:tc>
          <w:tcPr>
            <w:tcW w:type="dxa" w:w="4680"/>
          </w:tcPr>
          <w:p>
            <w:r>
              <w:rPr>
                <w:sz w:val="20"/>
              </w:rPr>
              <w:t>M.L. 2019, First Special Session, Chp. 4, Art. 2, Sec. 2, Subd. 04b</w:t>
            </w:r>
          </w:p>
        </w:tc>
        <w:tc>
          <w:tcPr>
            <w:tcW w:type="dxa" w:w="1440"/>
          </w:tcPr>
          <w:p>
            <w:pPr>
              <w:jc w:val="right"/>
            </w:pPr>
            <w:r>
              <w:rPr>
                <w:sz w:val="20"/>
              </w:rPr>
              <w:t>$415,000</w:t>
            </w:r>
          </w:p>
        </w:tc>
      </w:tr>
      <w:tr>
        <w:tc>
          <w:tcPr>
            <w:tcW w:type="dxa" w:w="4680"/>
          </w:tcPr>
          <w:p>
            <w:r>
              <w:rPr>
                <w:sz w:val="20"/>
              </w:rPr>
              <w:t>Improving Nitrogen Removal in Greater Minnesota Wastewater Treatment Ponds</w:t>
            </w:r>
          </w:p>
        </w:tc>
        <w:tc>
          <w:tcPr>
            <w:tcW w:type="dxa" w:w="4680"/>
          </w:tcPr>
          <w:p>
            <w:r>
              <w:rPr>
                <w:sz w:val="20"/>
              </w:rPr>
              <w:t>M.L. 2019, First Special Session, Chp. 4, Art. 2, Sec. 2, Subd. 04e</w:t>
            </w:r>
          </w:p>
        </w:tc>
        <w:tc>
          <w:tcPr>
            <w:tcW w:type="dxa" w:w="1440"/>
          </w:tcPr>
          <w:p>
            <w:pPr>
              <w:jc w:val="right"/>
            </w:pPr>
            <w:r>
              <w:rPr>
                <w:sz w:val="20"/>
              </w:rPr>
              <w:t>$325,000</w:t>
            </w:r>
          </w:p>
        </w:tc>
      </w:tr>
      <w:tr>
        <w:tc>
          <w:tcPr>
            <w:tcW w:type="dxa" w:w="4680"/>
          </w:tcPr>
          <w:p>
            <w:r>
              <w:rPr>
                <w:sz w:val="20"/>
              </w:rPr>
              <w:t>Degrading Chlorinated Industrial Contaminants with Bacteria</w:t>
            </w:r>
          </w:p>
        </w:tc>
        <w:tc>
          <w:tcPr>
            <w:tcW w:type="dxa" w:w="4680"/>
          </w:tcPr>
          <w:p>
            <w:r>
              <w:rPr>
                <w:sz w:val="20"/>
              </w:rPr>
              <w:t>M.L. 2019, First Special Session, Chp. 4, Art. 2, Sec. 2, Subd. 04s</w:t>
            </w:r>
          </w:p>
        </w:tc>
        <w:tc>
          <w:tcPr>
            <w:tcW w:type="dxa" w:w="1440"/>
          </w:tcPr>
          <w:p>
            <w:pPr>
              <w:jc w:val="right"/>
            </w:pPr>
            <w:r>
              <w:rPr>
                <w:sz w:val="20"/>
              </w:rPr>
              <w:t>$150,000</w:t>
            </w:r>
          </w:p>
        </w:tc>
      </w:tr>
      <w:tr>
        <w:tc>
          <w:tcPr>
            <w:tcW w:type="dxa" w:w="4680"/>
          </w:tcPr>
          <w:p>
            <w:r>
              <w:rPr>
                <w:sz w:val="20"/>
              </w:rPr>
              <w:t>Technology For Energy-Generating Onsite Industrial Wastewater Treatment</w:t>
            </w:r>
          </w:p>
        </w:tc>
        <w:tc>
          <w:tcPr>
            <w:tcW w:type="dxa" w:w="4680"/>
          </w:tcPr>
          <w:p>
            <w:r>
              <w:rPr>
                <w:sz w:val="20"/>
              </w:rPr>
              <w:t>M.L. 2021, First Special Session, Chp. 6, Art. 5, Sec. 2, Subd. 04b</w:t>
            </w:r>
          </w:p>
        </w:tc>
        <w:tc>
          <w:tcPr>
            <w:tcW w:type="dxa" w:w="1440"/>
          </w:tcPr>
          <w:p>
            <w:pPr>
              <w:jc w:val="right"/>
            </w:pPr>
            <w:r>
              <w:rPr>
                <w:sz w:val="20"/>
              </w:rPr>
              <w:t>$450,000</w:t>
            </w:r>
          </w:p>
        </w:tc>
      </w:tr>
      <w:tr>
        <w:tc>
          <w:tcPr>
            <w:tcW w:type="dxa" w:w="4680"/>
          </w:tcPr>
          <w:p>
            <w:r>
              <w:rPr>
                <w:sz w:val="20"/>
              </w:rPr>
              <w:t>Finding, Capturing, and Destroying PFAS in Minnesota Waters</w:t>
            </w:r>
          </w:p>
        </w:tc>
        <w:tc>
          <w:tcPr>
            <w:tcW w:type="dxa" w:w="4680"/>
          </w:tcPr>
          <w:p>
            <w:r>
              <w:rPr>
                <w:sz w:val="20"/>
              </w:rPr>
              <w:t>M.L. 2023, , Chp. 60, Art. 2, Sec. 2, Subd. 04d</w:t>
            </w:r>
          </w:p>
        </w:tc>
        <w:tc>
          <w:tcPr>
            <w:tcW w:type="dxa" w:w="1440"/>
          </w:tcPr>
          <w:p>
            <w:pPr>
              <w:jc w:val="right"/>
            </w:pPr>
            <w:r>
              <w:rPr>
                <w:sz w:val="20"/>
              </w:rPr>
              <w:t>$478,000</w:t>
            </w:r>
          </w:p>
        </w:tc>
      </w:tr>
      <w:tr>
        <w:tc>
          <w:tcPr>
            <w:tcW w:type="dxa" w:w="4680"/>
          </w:tcPr>
          <w:p>
            <w:r>
              <w:rPr>
                <w:sz w:val="20"/>
              </w:rPr>
              <w:t>Removing CECs from Stormwater with Biofiltration</w:t>
            </w:r>
          </w:p>
        </w:tc>
        <w:tc>
          <w:tcPr>
            <w:tcW w:type="dxa" w:w="4680"/>
          </w:tcPr>
          <w:p>
            <w:r>
              <w:rPr>
                <w:sz w:val="20"/>
              </w:rPr>
              <w:t>M.L. 2023, , Chp. 60, Art. 2, Sec. 2, Subd. 04j</w:t>
            </w:r>
          </w:p>
        </w:tc>
        <w:tc>
          <w:tcPr>
            <w:tcW w:type="dxa" w:w="1440"/>
          </w:tcPr>
          <w:p>
            <w:pPr>
              <w:jc w:val="right"/>
            </w:pPr>
            <w:r>
              <w:rPr>
                <w:sz w:val="20"/>
              </w:rPr>
              <w:t>$641,000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Paige Novak, PI</w:t>
            </w:r>
          </w:p>
        </w:tc>
        <w:tc>
          <w:tcPr>
            <w:tcW w:type="dxa" w:w="1440"/>
          </w:tcPr>
          <w:p>
            <w:r>
              <w:rPr>
                <w:sz w:val="20"/>
              </w:rPr>
            </w:r>
          </w:p>
        </w:tc>
        <w:tc>
          <w:tcPr>
            <w:tcW w:type="dxa" w:w="5472"/>
          </w:tcPr>
          <w:p>
            <w:r>
              <w:rPr>
                <w:sz w:val="20"/>
              </w:rPr>
              <w:t>Project supervisor. Novak, PI. Overall project supervision, experimental design, data analysis and interpretation.</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0.21</w:t>
            </w:r>
          </w:p>
        </w:tc>
        <w:tc>
          <w:tcPr>
            <w:tcW w:type="dxa" w:w="360"/>
          </w:tcPr>
          <w:p>
            <w:r>
              <w:rPr>
                <w:sz w:val="20"/>
              </w:rPr>
            </w:r>
          </w:p>
        </w:tc>
        <w:tc>
          <w:tcPr>
            <w:tcW w:type="dxa" w:w="1152"/>
          </w:tcPr>
          <w:p>
            <w:pPr>
              <w:jc w:val="right"/>
            </w:pPr>
            <w:r>
              <w:rPr>
                <w:sz w:val="20"/>
              </w:rPr>
              <w:t>$75,519</w:t>
            </w:r>
          </w:p>
        </w:tc>
      </w:tr>
      <w:tr>
        <w:tc>
          <w:tcPr>
            <w:tcW w:type="dxa" w:w="864"/>
          </w:tcPr>
          <w:p>
            <w:r>
              <w:rPr>
                <w:sz w:val="20"/>
              </w:rPr>
              <w:t>William Arnold, Co-PI</w:t>
            </w:r>
          </w:p>
        </w:tc>
        <w:tc>
          <w:tcPr>
            <w:tcW w:type="dxa" w:w="1440"/>
          </w:tcPr>
          <w:p>
            <w:r>
              <w:rPr>
                <w:sz w:val="20"/>
              </w:rPr>
            </w:r>
          </w:p>
        </w:tc>
        <w:tc>
          <w:tcPr>
            <w:tcW w:type="dxa" w:w="5472"/>
          </w:tcPr>
          <w:p>
            <w:r>
              <w:rPr>
                <w:sz w:val="20"/>
              </w:rPr>
              <w:t>Project co-supervisor. Arnold, Co-PI. Analytical method development, data analysis and interpretation.</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$50,771</w:t>
            </w:r>
          </w:p>
        </w:tc>
      </w:tr>
      <w:tr>
        <w:tc>
          <w:tcPr>
            <w:tcW w:type="dxa" w:w="864"/>
          </w:tcPr>
          <w:p>
            <w:r>
              <w:rPr>
                <w:sz w:val="20"/>
              </w:rPr>
              <w:t>Graduate student researcher</w:t>
            </w:r>
          </w:p>
        </w:tc>
        <w:tc>
          <w:tcPr>
            <w:tcW w:type="dxa" w:w="1440"/>
          </w:tcPr>
          <w:p>
            <w:r>
              <w:rPr>
                <w:sz w:val="20"/>
              </w:rPr>
            </w:r>
          </w:p>
        </w:tc>
        <w:tc>
          <w:tcPr>
            <w:tcW w:type="dxa" w:w="5472"/>
          </w:tcPr>
          <w:p>
            <w:r>
              <w:rPr>
                <w:sz w:val="20"/>
              </w:rPr>
              <w:t>Graduate Research Assistant. Will set up the flow-through reactors and grow bacteria under a range of conditions, will perform the experiments described to determine how low concentrations of substrate enable better contaminant of emerging concern degradation.  Will sequence and analyze the microbial community data.  Will analyze samples and data as a whole to determine outcomes.</w:t>
            </w:r>
          </w:p>
        </w:tc>
        <w:tc>
          <w:tcPr>
            <w:tcW w:type="dxa" w:w="4032"/>
          </w:tcPr>
          <w:p>
            <w:r>
              <w:rPr>
                <w:sz w:val="20"/>
              </w:rPr>
            </w:r>
          </w:p>
        </w:tc>
        <w:tc>
          <w:tcPr>
            <w:tcW w:type="dxa" w:w="360"/>
          </w:tcPr>
          <w:p>
            <w:r>
              <w:rPr>
                <w:sz w:val="20"/>
              </w:rPr>
            </w:r>
          </w:p>
        </w:tc>
        <w:tc>
          <w:tcPr>
            <w:tcW w:type="dxa" w:w="360"/>
          </w:tcPr>
          <w:p>
            <w:pPr>
              <w:jc w:val="right"/>
            </w:pPr>
            <w:r>
              <w:rPr>
                <w:sz w:val="20"/>
              </w:rPr>
              <w:t>45%</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$170,404</w:t>
            </w:r>
          </w:p>
        </w:tc>
      </w:tr>
      <w:tr>
        <w:tc>
          <w:tcPr>
            <w:tcW w:type="dxa" w:w="864"/>
          </w:tcPr>
          <w:p>
            <w:r>
              <w:rPr>
                <w:sz w:val="20"/>
              </w:rPr>
              <w:t>Undergraduate student researcher</w:t>
            </w:r>
          </w:p>
        </w:tc>
        <w:tc>
          <w:tcPr>
            <w:tcW w:type="dxa" w:w="1440"/>
          </w:tcPr>
          <w:p>
            <w:r>
              <w:rPr>
                <w:sz w:val="20"/>
              </w:rPr>
            </w:r>
          </w:p>
        </w:tc>
        <w:tc>
          <w:tcPr>
            <w:tcW w:type="dxa" w:w="5472"/>
          </w:tcPr>
          <w:p>
            <w:r>
              <w:rPr>
                <w:sz w:val="20"/>
              </w:rPr>
              <w:t>Undergraduate Research Assistant. Will assist graduate student with reactor operation, sampling, sample analysis.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$11,452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$308,146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Agilent</w:t>
            </w:r>
          </w:p>
        </w:tc>
        <w:tc>
          <w:tcPr>
            <w:tcW w:type="dxa" w:w="1440"/>
          </w:tcPr>
          <w:p>
            <w:r>
              <w:rPr>
                <w:sz w:val="20"/>
              </w:rPr>
              <w:t>Service Contract</w:t>
            </w:r>
          </w:p>
        </w:tc>
        <w:tc>
          <w:tcPr>
            <w:tcW w:type="dxa" w:w="5472"/>
          </w:tcPr>
          <w:p>
            <w:r>
              <w:rPr>
                <w:sz w:val="20"/>
              </w:rPr>
              <w:t>Preventative maintenance, service maintenance, and calibration of liquid chromatograph mass spectrometer required for antibiotic measuremens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0.15</w:t>
            </w:r>
          </w:p>
        </w:tc>
        <w:tc>
          <w:tcPr>
            <w:tcW w:type="dxa" w:w="360"/>
          </w:tcPr>
          <w:p>
            <w:r>
              <w:rPr>
                <w:sz w:val="20"/>
              </w:rPr>
            </w:r>
          </w:p>
        </w:tc>
        <w:tc>
          <w:tcPr>
            <w:tcW w:type="dxa" w:w="1152"/>
          </w:tcPr>
          <w:p>
            <w:pPr>
              <w:jc w:val="right"/>
            </w:pPr>
            <w:r>
              <w:rPr>
                <w:sz w:val="20"/>
              </w:rPr>
              <w:t>$21,000</w:t>
            </w:r>
          </w:p>
        </w:tc>
      </w:tr>
      <w:tr>
        <w:tc>
          <w:tcPr>
            <w:tcW w:type="dxa" w:w="864"/>
          </w:tcPr>
          <w:p>
            <w:r>
              <w:rPr>
                <w:sz w:val="20"/>
              </w:rPr>
              <w:t>University of Minnesota Genomics Center</w:t>
            </w:r>
          </w:p>
        </w:tc>
        <w:tc>
          <w:tcPr>
            <w:tcW w:type="dxa" w:w="1440"/>
          </w:tcPr>
          <w:p>
            <w:r>
              <w:rPr>
                <w:sz w:val="20"/>
              </w:rPr>
              <w:t>Internal services or fees (uncommon)</w:t>
            </w:r>
          </w:p>
        </w:tc>
        <w:tc>
          <w:tcPr>
            <w:tcW w:type="dxa" w:w="5472"/>
          </w:tcPr>
          <w:p>
            <w:r>
              <w:rPr>
                <w:sz w:val="20"/>
              </w:rPr>
              <w:t>Sequencing the microbial communities will allow us to determine whether specific organisms are enriched under different conditions and what their identify is.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0.04</w:t>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Six low-flow pumps</w:t>
            </w:r>
          </w:p>
        </w:tc>
        <w:tc>
          <w:tcPr>
            <w:tcW w:type="dxa" w:w="4032"/>
          </w:tcPr>
          <w:p>
            <w:r>
              <w:rPr>
                <w:sz w:val="20"/>
              </w:rPr>
              <w:t>Pumps will be purchased for the flow-through reactor. The flow-rate needed is very low, so new specialized pumps will be needed.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tcPr>
          <w:p>
            <w:r>
              <w:rPr>
                <w:sz w:val="20"/>
              </w:rPr>
            </w:r>
          </w:p>
        </w:tc>
        <w:tc>
          <w:tcPr>
            <w:tcW w:type="dxa" w:w="1440"/>
          </w:tcPr>
          <w:p>
            <w:r>
              <w:rPr>
                <w:sz w:val="20"/>
              </w:rPr>
              <w:t>Tools and Supplies</w:t>
            </w:r>
          </w:p>
        </w:tc>
        <w:tc>
          <w:tcPr>
            <w:tcW w:type="dxa" w:w="5472"/>
          </w:tcPr>
          <w:p>
            <w:r>
              <w:rPr>
                <w:sz w:val="20"/>
              </w:rPr>
              <w:t>Laboratory supplies and analytical costs (includes, but is not limited to, chemicals for all analyses, supplies to run analytical equipment and perform analysis, supplies for reactor construction). These are all required costs.</w:t>
            </w:r>
          </w:p>
        </w:tc>
        <w:tc>
          <w:tcPr>
            <w:tcW w:type="dxa" w:w="4032"/>
          </w:tcPr>
          <w:p>
            <w:r>
              <w:rPr>
                <w:sz w:val="20"/>
              </w:rPr>
              <w:t>Reactor materials will be purchased to grow the organisms. Chemicals will be purchased to perform the needed CEC and microbial analyses and to culture the bacteria. CECs will be purchased to study, including isotope-labeled standards to ensure reproducible and high quality analysis, particularly for the low concentrations expected.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$39,198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$51,198</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Hutchinson, MN from the UMN campus is 70 miles one-way. Reimbursement rates are 67 cents/mile. We anticipate 3 trips a year for the first two years and one trip in the final year.</w:t>
            </w:r>
          </w:p>
        </w:tc>
        <w:tc>
          <w:tcPr>
            <w:tcW w:type="dxa" w:w="4032"/>
          </w:tcPr>
          <w:p>
            <w:r>
              <w:rPr>
                <w:sz w:val="20"/>
              </w:rPr>
              <w:t>Project personnel will travel to pick up wastewater biomass samples from Hutchinson Minnesota. They operate a membrane bioreactor, which operates under starvation conditions. We have discussed using their bacteria in this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$656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$656</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$390,000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$390,000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8e0c79c2-062.pdf</w:t>
          </w:r>
        </w:hyperlink>
      </w:r>
    </w:p>
    <w:p>
      <w:pPr>
        <w:pStyle w:val="Heading4"/>
        <w:spacing w:before="40" w:after="20"/>
      </w:pPr>
      <w:r>
        <w:rPr>
          <w:b/>
          <w:i/>
          <w:color w:val="000000"/>
          <w:sz w:val="24"/>
        </w:rPr>
        <w:t>Alternate Text for Visual Component</w:t>
      </w:r>
    </w:p>
    <w:p>
      <w:r>
        <w:t>The graphic shows how bacteria that are starved are able to degrade contaminants of emerging concern more effectively than well-fed bacteria....</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University of Minnesota endorsement letter</w:t>
            </w:r>
          </w:p>
        </w:tc>
        <w:tc>
          <w:tcPr>
            <w:tcW w:type="dxa" w:w="5400"/>
          </w:tcPr>
          <w:p>
            <w:r>
              <w:rPr>
                <w:sz w:val="20"/>
              </w:rPr>
            </w:r>
            <w:r>
              <w:rPr>
                <w:color w:val="000000" w:themeColor="hyperlink"/>
                <w:sz w:val="20"/>
                <w:u w:val="single"/>
              </w:rPr>
              <w:hyperlink r:id="rId13">
                <w:r>
                  <w:rPr/>
                  <w:t>9b32405c-32f.pdf</w:t>
                </w:r>
              </w:hyperlink>
            </w:r>
          </w:p>
        </w:tc>
      </w:tr>
      <w:tr>
        <w:tc>
          <w:tcPr>
            <w:tcW w:type="dxa" w:w="5400"/>
          </w:tcPr>
          <w:p>
            <w:r>
              <w:rPr>
                <w:sz w:val="20"/>
              </w:rPr>
              <w:t>2025-087 Research Addendum revised_final</w:t>
            </w:r>
          </w:p>
        </w:tc>
        <w:tc>
          <w:tcPr>
            <w:tcW w:type="dxa" w:w="5400"/>
          </w:tcPr>
          <w:p>
            <w:r>
              <w:rPr>
                <w:sz w:val="20"/>
              </w:rPr>
            </w:r>
            <w:r>
              <w:rPr>
                <w:color w:val="000000" w:themeColor="hyperlink"/>
                <w:sz w:val="20"/>
                <w:u w:val="single"/>
              </w:rPr>
              <w:hyperlink r:id="rId14">
                <w:r>
                  <w:rPr/>
                  <w:t>154d45ac-d85.docx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I changed the reporting requirements, but don't really need to.  You can change that back.</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William Arnold, Professor, and Nicole Jones, Accountant, Department of Civil, Environmental, and Geo- Engineering at the University of Minnesota; personnel in the Sponsored Projects Administration at the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8e0c79c2-062.pdf" TargetMode="External"/><Relationship Id="rId13" Type="http://schemas.openxmlformats.org/officeDocument/2006/relationships/hyperlink" Target="https://lccmrprojectmgmt.leg.mn/media/attachments/9b32405c-32f.pdf" TargetMode="External"/><Relationship Id="rId14" Type="http://schemas.openxmlformats.org/officeDocument/2006/relationships/hyperlink" Target="https://lccmrprojectmgmt.leg.mn/media/attachments/154d45ac-d8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Enhancing Degradation of Emerging Contaminants via Microbial Starvation</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