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2025-084</w:t>
      </w:r>
    </w:p>
    <w:p>
      <w:r>
        <w:rPr>
          <w:b/>
        </w:rPr>
        <w:t xml:space="preserve">Staff Lead: </w:t>
      </w:r>
      <w:r>
        <w:t>Lisa Bigaouette</w:t>
      </w:r>
    </w:p>
    <w:p>
      <w:r>
        <w:rPr>
          <w:b/>
        </w:rPr>
        <w:t xml:space="preserve">Date this document submitted to LCCMR: </w:t>
      </w:r>
      <w:r>
        <w:t>June 5, 2025</w:t>
      </w:r>
    </w:p>
    <w:p>
      <w:r>
        <w:rPr>
          <w:b/>
        </w:rPr>
        <w:t xml:space="preserve">Project Title: </w:t>
      </w:r>
      <w:r>
        <w:t>Cyanotoxins in Minnesota Lakes: The Role of Sunlight</w:t>
      </w:r>
    </w:p>
    <w:p>
      <w:r>
        <w:rPr>
          <w:b/>
        </w:rPr>
        <w:t xml:space="preserve">Project Budget: </w:t>
      </w:r>
      <w:r>
        <w:t>$220,000</w:t>
      </w:r>
    </w:p>
    <w:p/>
    <w:p>
      <w:pPr>
        <w:pStyle w:val="Heading2"/>
        <w:spacing w:before="0" w:after="80"/>
      </w:pPr>
      <w:r>
        <w:rPr>
          <w:b/>
          <w:color w:val="2C559C"/>
          <w:sz w:val="28"/>
        </w:rPr>
        <w:t>Project Manager Information</w:t>
      </w:r>
    </w:p>
    <w:p>
      <w:r>
        <w:rPr>
          <w:b/>
        </w:rPr>
        <w:t xml:space="preserve">Name: </w:t>
      </w:r>
      <w:r>
        <w:t>William Arnold</w:t>
      </w:r>
    </w:p>
    <w:p>
      <w:r>
        <w:rPr>
          <w:b/>
        </w:rPr>
        <w:t xml:space="preserve">Organization: </w:t>
      </w:r>
      <w:r>
        <w:t>U of MN - College of Science and Engineering</w:t>
      </w:r>
    </w:p>
    <w:p>
      <w:r>
        <w:rPr>
          <w:b/>
        </w:rPr>
        <w:t xml:space="preserve">Office Telephone: </w:t>
      </w:r>
      <w:r>
        <w:t>(612) 625-8582</w:t>
      </w:r>
    </w:p>
    <w:p>
      <w:r>
        <w:rPr>
          <w:b/>
        </w:rPr>
        <w:t xml:space="preserve">Email: </w:t>
      </w:r>
      <w:r>
        <w:t>arnol032@umn.edu</w:t>
      </w:r>
    </w:p>
    <w:p>
      <w:r>
        <w:rPr>
          <w:b/>
        </w:rPr>
        <w:t xml:space="preserve">Web Address: </w:t>
      </w:r>
      <w:r>
        <w:t>https://cse.umn.edu/</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04f</w:t>
      </w:r>
    </w:p>
    <w:p>
      <w:r>
        <w:rPr>
          <w:b/>
        </w:rPr>
        <w:t xml:space="preserve">Appropriation Language: </w:t>
      </w:r>
      <w:r>
        <w:t xml:space="preserve">$220,000 the first year is from the trust fund to the Board of Regents of the University of Minnesota to quantify degradation of cyanobacterial toxins by sunlight to understand how increasing frequency of harmful algal blooms and changing environmental conditions influence toxin persistence in natural waters.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The degradation of cyanobacterial toxins by sunlight will be quantified to understand how increasing frequency of cyanobacterial (harmful algal) blooms and changing environmental conditions influence toxin persistence in natural waters.</w:t>
      </w:r>
    </w:p>
    <w:p>
      <w:pPr>
        <w:spacing w:after="60"/>
      </w:pPr>
      <w:r>
        <w:rPr>
          <w:b/>
        </w:rPr>
        <w:t>Describe the opportunity or problem your proposal seeks to address. Include any relevant background information.</w:t>
      </w:r>
    </w:p>
    <w:p>
      <w:r>
        <w:t>The combination of increased temperatures and nutrient loads to Minnesota’s lakes and rivers are increasing the duration and frequency of blooms of harmful cyanobacteria (also known as harmful algal blooms). These blooms produce cyanotoxins that are a threat to humans who drink or recreate in Minnesota’s waters as well as wildlife. Additionally, these blooms will affect the composition of dissolved organic matter (DOM), the material that gives water its brown color in lakes and rivers. When the DOM absorbs sunlight, it creates reactive species that are critical to the degradation of a cyanotoxins. Yet the presence of cyanobacteria and cyanobacterial organic matter will influence the production and quenching of these same reactive intermediates in natural waters. Additionally, we do not fully understand how different wavelengths of light influence this process. Due to stratospheric ozone recovery and the emission of more greenhouse gases and other particles into the atmosphere, many bodies of water will experience a future shift in the intensity and spectrum of sunlight they receive. We do not know how this combination of conditions will affect the longevity of cyanotoxins in Minnesota’s waters.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proposal seeks to address how the cascading effects of temperature, nutrients, organic matter composition and changes in sunlight will affect the persistence of cyanotoxins in Minnesota waters, so we can develop better warnings about water use and recommendations for additional treatment of drinking water. Using a combination of laboratory grown cyanobacteria and waters collected from lakes before, during, and after cyanobacteria blooms, the production of reactive intermediates by cyanobacterial organic matter will be measured and compared to materials present in unimpacted waters. The effect of different wavelengths of light will be tested. From this information, the production rate of reactive intermediates will be calculated and used to predict how the concentrations of cyanotoxins in Minnesota lakes will change under different scenarios. The levels of cyanotoxins in the lakes and the rate at which these toxins degrade in the presence of different organic matter will then be measured directly. Finally, the specific reactive species responsible for the degradation of the cyanotoxins will be identified, and this data will provide the information needed to assess how different environmental conditions affect the persistence of cyanotoxins in Minnesota lakes.</w:t>
      </w:r>
    </w:p>
    <w:p>
      <w:pPr>
        <w:spacing w:after="60"/>
      </w:pPr>
      <w:r>
        <w:rPr>
          <w:b/>
        </w:rPr>
        <w:t xml:space="preserve">What are the specific project outcomes as they relate to the public purpose of protection, conservation, preservation, and enhancement of the state’s natural resources? </w:t>
      </w:r>
    </w:p>
    <w:p>
      <w:r>
        <w:t>Understanding cyanotoxin persistence in our water is important for the protection of all water users. Furthermore, the presence of cyanotoxins poses a threat to the fish and other aquatic life that live in these waters. Understanding how the cascading effects of temperature, light, and water quality will affect the surface-water photochemistry and longevity of cyanotoxins in Minnesota’s waters will be critically important for management decisions, public notification of potential dangers, and adaptive drinking water treatment.</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Quantify the ability of cyanobacterial organic matter to produce reactive intermidiates that can degrade cyanobacterial toxins</w:t>
      </w:r>
    </w:p>
    <w:p>
      <w:r>
        <w:rPr>
          <w:b/>
        </w:rPr>
        <w:t xml:space="preserve">Activity Budget: </w:t>
      </w:r>
      <w:r>
        <w:t>$130,000</w:t>
      </w:r>
    </w:p>
    <w:p>
      <w:r>
        <w:rPr>
          <w:b/>
        </w:rPr>
        <w:t xml:space="preserve">Activity Description: </w:t>
        <w:br/>
      </w:r>
      <w:r>
        <w:t>A cyanobacterial strain (M. aeruginosa strain UTEX B 2662) known to produce cyanotoxins will be grown in the laboratory. Once the culture is established, the water will be filtered/extracted to collect the organic matter. Water samples from lakes, including sentinel lakes monitored by the Minnesota Pollution Control Agency, will be collected before, during, and after cyanobacterial blooms. These waters and the material collected from the lab grown strain will be used in photochemistry experiments. The spectral and chemical properties of the organic matter will be characterized. A series of chemical probes will be used to quantify hydroxyl radicals, carbonate radials, singlet oxygen, and reactive triplet species from the organic matter. These are the reactive intermediates likely to degrade cyanotoxins. Comparisons will be made to the production of the reactive intermediates from reference organic material, collected from lakes without cyanobacterial blooms. The light wavelength dependence of these reactions will be explored by comparing the reactive intermediate production at a range of wavelengths using a solar simulator and narrow bandwidth light emitting diodes (LEDs).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Grow cyanobacterial cultures and harvest organic matter</w:t>
            </w:r>
          </w:p>
        </w:tc>
        <w:tc>
          <w:tcPr>
            <w:tcW w:type="dxa" w:w="2160"/>
          </w:tcPr>
          <w:p>
            <w:pPr>
              <w:jc w:val="right"/>
            </w:pPr>
            <w:r>
              <w:rPr>
                <w:sz w:val="20"/>
              </w:rPr>
              <w:t>December 31, 2025</w:t>
            </w:r>
          </w:p>
        </w:tc>
      </w:tr>
      <w:tr>
        <w:tc>
          <w:tcPr>
            <w:tcW w:type="dxa" w:w="8640"/>
          </w:tcPr>
          <w:p>
            <w:r>
              <w:rPr>
                <w:sz w:val="20"/>
              </w:rPr>
              <w:t>Collect cyanobacterial bloom impacted waters</w:t>
            </w:r>
          </w:p>
        </w:tc>
        <w:tc>
          <w:tcPr>
            <w:tcW w:type="dxa" w:w="2160"/>
          </w:tcPr>
          <w:p>
            <w:pPr>
              <w:jc w:val="right"/>
            </w:pPr>
            <w:r>
              <w:rPr>
                <w:sz w:val="20"/>
              </w:rPr>
              <w:t>October 31, 2026</w:t>
            </w:r>
          </w:p>
        </w:tc>
      </w:tr>
      <w:tr>
        <w:tc>
          <w:tcPr>
            <w:tcW w:type="dxa" w:w="8640"/>
          </w:tcPr>
          <w:p>
            <w:r>
              <w:rPr>
                <w:sz w:val="20"/>
              </w:rPr>
              <w:t>Experiments to quantify reactive intermediates - solar light</w:t>
            </w:r>
          </w:p>
        </w:tc>
        <w:tc>
          <w:tcPr>
            <w:tcW w:type="dxa" w:w="2160"/>
          </w:tcPr>
          <w:p>
            <w:pPr>
              <w:jc w:val="right"/>
            </w:pPr>
            <w:r>
              <w:rPr>
                <w:sz w:val="20"/>
              </w:rPr>
              <w:t>October 31, 2026</w:t>
            </w:r>
          </w:p>
        </w:tc>
      </w:tr>
      <w:tr>
        <w:tc>
          <w:tcPr>
            <w:tcW w:type="dxa" w:w="8640"/>
          </w:tcPr>
          <w:p>
            <w:r>
              <w:rPr>
                <w:sz w:val="20"/>
              </w:rPr>
              <w:t>Manuscript publication</w:t>
            </w:r>
          </w:p>
        </w:tc>
        <w:tc>
          <w:tcPr>
            <w:tcW w:type="dxa" w:w="2160"/>
          </w:tcPr>
          <w:p>
            <w:pPr>
              <w:jc w:val="right"/>
            </w:pPr>
            <w:r>
              <w:rPr>
                <w:sz w:val="20"/>
              </w:rPr>
              <w:t>December 31, 2026</w:t>
            </w:r>
          </w:p>
        </w:tc>
      </w:tr>
      <w:tr>
        <w:tc>
          <w:tcPr>
            <w:tcW w:type="dxa" w:w="8640"/>
          </w:tcPr>
          <w:p>
            <w:r>
              <w:rPr>
                <w:sz w:val="20"/>
              </w:rPr>
              <w:t>Experiments to quantify reactive intermediates - light emitting diodes</w:t>
            </w:r>
          </w:p>
        </w:tc>
        <w:tc>
          <w:tcPr>
            <w:tcW w:type="dxa" w:w="2160"/>
          </w:tcPr>
          <w:p>
            <w:pPr>
              <w:jc w:val="right"/>
            </w:pPr>
            <w:r>
              <w:rPr>
                <w:sz w:val="20"/>
              </w:rPr>
              <w:t>March 31, 2027</w:t>
            </w:r>
          </w:p>
        </w:tc>
      </w:tr>
    </w:tbl>
    <w:p/>
    <w:p>
      <w:pPr>
        <w:pStyle w:val="Heading3"/>
        <w:spacing w:after="60"/>
      </w:pPr>
      <w:r>
        <w:rPr>
          <w:b/>
          <w:color w:val="254885"/>
          <w:sz w:val="26"/>
        </w:rPr>
        <w:t>Activity 2: Establish the rate and pathway of cyanobacterial toxin degradation under different light and solution conditions</w:t>
      </w:r>
    </w:p>
    <w:p>
      <w:r>
        <w:rPr>
          <w:b/>
        </w:rPr>
        <w:t xml:space="preserve">Activity Budget: </w:t>
      </w:r>
      <w:r>
        <w:t>$90,000</w:t>
      </w:r>
    </w:p>
    <w:p>
      <w:r>
        <w:rPr>
          <w:b/>
        </w:rPr>
        <w:t xml:space="preserve">Activity Description: </w:t>
        <w:br/>
      </w:r>
      <w:r>
        <w:t>The degradation of cyanotoxins when exposed to light in the presence of organic matter will be explored. Probe and quencher experiments will be used to isolate the specific reactive species responsible for the degradation. Known reactive intermediate sensitizers will be used to verify the reactivity and determine the second order rate constants. The effect of light wavelength will again be explored by comparing cyanotoxin degradation at a range of wavelengths using a solar simulator and narrow bandwidth light emitting diodes. The information about reactive intermediate production from Activity 1 and the degradation rate constants in Activity 2 will be combined into a model that will be able to predict cyanotoxin persistence for various organic matter compositions and light intensities/spectra.</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Confirm cyanobacterial toxin analytical method</w:t>
            </w:r>
          </w:p>
        </w:tc>
        <w:tc>
          <w:tcPr>
            <w:tcW w:type="dxa" w:w="2160"/>
          </w:tcPr>
          <w:p>
            <w:pPr>
              <w:jc w:val="right"/>
            </w:pPr>
            <w:r>
              <w:rPr>
                <w:sz w:val="20"/>
              </w:rPr>
              <w:t>October 31, 2025</w:t>
            </w:r>
          </w:p>
        </w:tc>
      </w:tr>
      <w:tr>
        <w:tc>
          <w:tcPr>
            <w:tcW w:type="dxa" w:w="8640"/>
          </w:tcPr>
          <w:p>
            <w:r>
              <w:rPr>
                <w:sz w:val="20"/>
              </w:rPr>
              <w:t>Measurement of cyanobacterial compound degradation - solar light and light emitting diodes</w:t>
            </w:r>
          </w:p>
        </w:tc>
        <w:tc>
          <w:tcPr>
            <w:tcW w:type="dxa" w:w="2160"/>
          </w:tcPr>
          <w:p>
            <w:pPr>
              <w:jc w:val="right"/>
            </w:pPr>
            <w:r>
              <w:rPr>
                <w:sz w:val="20"/>
              </w:rPr>
              <w:t>January 31, 2027</w:t>
            </w:r>
          </w:p>
        </w:tc>
      </w:tr>
      <w:tr>
        <w:tc>
          <w:tcPr>
            <w:tcW w:type="dxa" w:w="8640"/>
          </w:tcPr>
          <w:p>
            <w:r>
              <w:rPr>
                <w:sz w:val="20"/>
              </w:rPr>
              <w:t>Measure rates of cyanobacterial compound degradation - solution conditions</w:t>
            </w:r>
          </w:p>
        </w:tc>
        <w:tc>
          <w:tcPr>
            <w:tcW w:type="dxa" w:w="2160"/>
          </w:tcPr>
          <w:p>
            <w:pPr>
              <w:jc w:val="right"/>
            </w:pPr>
            <w:r>
              <w:rPr>
                <w:sz w:val="20"/>
              </w:rPr>
              <w:t>March 31, 2027</w:t>
            </w:r>
          </w:p>
        </w:tc>
      </w:tr>
      <w:tr>
        <w:tc>
          <w:tcPr>
            <w:tcW w:type="dxa" w:w="8640"/>
          </w:tcPr>
          <w:p>
            <w:r>
              <w:rPr>
                <w:sz w:val="20"/>
              </w:rPr>
              <w:t>Model development</w:t>
            </w:r>
          </w:p>
        </w:tc>
        <w:tc>
          <w:tcPr>
            <w:tcW w:type="dxa" w:w="2160"/>
          </w:tcPr>
          <w:p>
            <w:pPr>
              <w:jc w:val="right"/>
            </w:pPr>
            <w:r>
              <w:rPr>
                <w:sz w:val="20"/>
              </w:rPr>
              <w:t>June 30, 2027</w:t>
            </w:r>
          </w:p>
        </w:tc>
      </w:tr>
      <w:tr>
        <w:tc>
          <w:tcPr>
            <w:tcW w:type="dxa" w:w="8640"/>
          </w:tcPr>
          <w:p>
            <w:r>
              <w:rPr>
                <w:sz w:val="20"/>
              </w:rPr>
              <w:t>Manuscript publication</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Dissemination efforts will include peer-review publications and presentations at local/regional conference (e.g., the annual Minnesota Water Conference). We will also set up meetings or seminars with agencies (e.g., the Minnesota Pollution Control Agency, Minnesota Department of Health), drinking water utilities (St. Paul Regional Water Services), and other researchers (St Croix Watershed Research Station) to facilitate information exchange and sharing our findings. These interactions will foster information transmittal to stakeholders and the public. Relevant field data will be archived in the data repository for the University of Minnesota, which is open access.  The Environment and Natural Resources Trust Fund will be acknowledged through use of the trust fund logo or attribution language on project print and electronic media, publications, signage, and other communications per the ENTRF Acknowledgment Guidelines.</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results will be communicated to stakeholders, including state agencies, watershed districts, and science/engineering consulting firms, through direct communication, presentation and local/regional conferences, and peer-reviewed publications.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Determining Influence of Insecticides on Algal Blooms</w:t>
            </w:r>
          </w:p>
        </w:tc>
        <w:tc>
          <w:tcPr>
            <w:tcW w:type="dxa" w:w="4680"/>
          </w:tcPr>
          <w:p>
            <w:r>
              <w:rPr>
                <w:sz w:val="20"/>
              </w:rPr>
              <w:t>M.L. 2019, First Special Session, Chp. 4, Art. 2, Sec. 2, Subd. 04a</w:t>
            </w:r>
          </w:p>
        </w:tc>
        <w:tc>
          <w:tcPr>
            <w:tcW w:type="dxa" w:w="1440"/>
          </w:tcPr>
          <w:p>
            <w:pPr>
              <w:jc w:val="right"/>
            </w:pPr>
            <w:r>
              <w:rPr>
                <w:sz w:val="20"/>
              </w:rPr>
              <w:t>$350,000</w:t>
            </w:r>
          </w:p>
        </w:tc>
      </w:tr>
      <w:tr>
        <w:tc>
          <w:tcPr>
            <w:tcW w:type="dxa" w:w="4680"/>
          </w:tcPr>
          <w:p>
            <w:r>
              <w:rPr>
                <w:sz w:val="20"/>
              </w:rPr>
              <w:t>Benign Design: Environmental Studies Leading to Sustainable Pharmaceuticals</w:t>
            </w:r>
          </w:p>
        </w:tc>
        <w:tc>
          <w:tcPr>
            <w:tcW w:type="dxa" w:w="4680"/>
          </w:tcPr>
          <w:p>
            <w:r>
              <w:rPr>
                <w:sz w:val="20"/>
              </w:rPr>
              <w:t>M.L. 2019, First Special Session, Chp. 4, Art. 2, Sec. 2, Subd. 04b</w:t>
            </w:r>
          </w:p>
        </w:tc>
        <w:tc>
          <w:tcPr>
            <w:tcW w:type="dxa" w:w="1440"/>
          </w:tcPr>
          <w:p>
            <w:pPr>
              <w:jc w:val="right"/>
            </w:pPr>
            <w:r>
              <w:rPr>
                <w:sz w:val="20"/>
              </w:rPr>
              <w:t>$415,000</w:t>
            </w:r>
          </w:p>
        </w:tc>
      </w:tr>
      <w:tr>
        <w:tc>
          <w:tcPr>
            <w:tcW w:type="dxa" w:w="4680"/>
          </w:tcPr>
          <w:p>
            <w:r>
              <w:rPr>
                <w:sz w:val="20"/>
              </w:rPr>
              <w:t>Improving Drinking Water for Minnesotans through Pollution Prevention</w:t>
            </w:r>
          </w:p>
        </w:tc>
        <w:tc>
          <w:tcPr>
            <w:tcW w:type="dxa" w:w="4680"/>
          </w:tcPr>
          <w:p>
            <w:r>
              <w:rPr>
                <w:sz w:val="20"/>
              </w:rPr>
              <w:t>M.L. 2019, First Special Session, Chp. 4, Art. 2, Sec. 2, Subd. 04f</w:t>
            </w:r>
          </w:p>
        </w:tc>
        <w:tc>
          <w:tcPr>
            <w:tcW w:type="dxa" w:w="1440"/>
          </w:tcPr>
          <w:p>
            <w:pPr>
              <w:jc w:val="right"/>
            </w:pPr>
            <w:r>
              <w:rPr>
                <w:sz w:val="20"/>
              </w:rPr>
              <w:t>$345,000</w:t>
            </w:r>
          </w:p>
        </w:tc>
      </w:tr>
      <w:tr>
        <w:tc>
          <w:tcPr>
            <w:tcW w:type="dxa" w:w="4680"/>
          </w:tcPr>
          <w:p>
            <w:r>
              <w:rPr>
                <w:sz w:val="20"/>
              </w:rPr>
              <w:t>Technology For Energy-Generating Onsite Industrial Wastewater Treatment</w:t>
            </w:r>
          </w:p>
        </w:tc>
        <w:tc>
          <w:tcPr>
            <w:tcW w:type="dxa" w:w="4680"/>
          </w:tcPr>
          <w:p>
            <w:r>
              <w:rPr>
                <w:sz w:val="20"/>
              </w:rPr>
              <w:t>M.L. 2021, First Special Session, Chp. 6, Art. 5, Sec. 2, Subd. 04b</w:t>
            </w:r>
          </w:p>
        </w:tc>
        <w:tc>
          <w:tcPr>
            <w:tcW w:type="dxa" w:w="1440"/>
          </w:tcPr>
          <w:p>
            <w:pPr>
              <w:jc w:val="right"/>
            </w:pPr>
            <w:r>
              <w:rPr>
                <w:sz w:val="20"/>
              </w:rPr>
              <w:t>$450,000</w:t>
            </w:r>
          </w:p>
        </w:tc>
      </w:tr>
      <w:tr>
        <w:tc>
          <w:tcPr>
            <w:tcW w:type="dxa" w:w="4680"/>
          </w:tcPr>
          <w:p>
            <w:r>
              <w:rPr>
                <w:sz w:val="20"/>
              </w:rPr>
              <w:t>Microgeographic Impact of Antibiotics Released from Identified Hotspots</w:t>
            </w:r>
          </w:p>
        </w:tc>
        <w:tc>
          <w:tcPr>
            <w:tcW w:type="dxa" w:w="4680"/>
          </w:tcPr>
          <w:p>
            <w:r>
              <w:rPr>
                <w:sz w:val="20"/>
              </w:rPr>
              <w:t>M.L. 2021, First Special Session, Chp. 6, Art. 6, Sec. 2, Subd. 04d</w:t>
            </w:r>
          </w:p>
        </w:tc>
        <w:tc>
          <w:tcPr>
            <w:tcW w:type="dxa" w:w="1440"/>
          </w:tcPr>
          <w:p>
            <w:pPr>
              <w:jc w:val="right"/>
            </w:pPr>
            <w:r>
              <w:rPr>
                <w:sz w:val="20"/>
              </w:rPr>
              <w:t>$508,000</w:t>
            </w:r>
          </w:p>
        </w:tc>
      </w:tr>
      <w:tr>
        <w:tc>
          <w:tcPr>
            <w:tcW w:type="dxa" w:w="4680"/>
          </w:tcPr>
          <w:p>
            <w:r>
              <w:rPr>
                <w:sz w:val="20"/>
              </w:rPr>
              <w:t>Finding, Capturing, and Destroying PFAS in Minnesota Waters</w:t>
            </w:r>
          </w:p>
        </w:tc>
        <w:tc>
          <w:tcPr>
            <w:tcW w:type="dxa" w:w="4680"/>
          </w:tcPr>
          <w:p>
            <w:r>
              <w:rPr>
                <w:sz w:val="20"/>
              </w:rPr>
              <w:t>M.L. 2023, , Chp. 60, Art. 2, Sec. 2, Subd. 04d</w:t>
            </w:r>
          </w:p>
        </w:tc>
        <w:tc>
          <w:tcPr>
            <w:tcW w:type="dxa" w:w="1440"/>
          </w:tcPr>
          <w:p>
            <w:pPr>
              <w:jc w:val="right"/>
            </w:pPr>
            <w:r>
              <w:rPr>
                <w:sz w:val="20"/>
              </w:rPr>
              <w:t>$478,000</w:t>
            </w:r>
          </w:p>
        </w:tc>
      </w:tr>
      <w:tr>
        <w:tc>
          <w:tcPr>
            <w:tcW w:type="dxa" w:w="4680"/>
          </w:tcPr>
          <w:p>
            <w:r>
              <w:rPr>
                <w:sz w:val="20"/>
              </w:rPr>
              <w:t>Removing CECs from Stormwater with Biofiltration</w:t>
            </w:r>
          </w:p>
        </w:tc>
        <w:tc>
          <w:tcPr>
            <w:tcW w:type="dxa" w:w="4680"/>
          </w:tcPr>
          <w:p>
            <w:r>
              <w:rPr>
                <w:sz w:val="20"/>
              </w:rPr>
              <w:t>M.L. 2023, , Chp. 60, Art. 2, Sec. 2, Subd. 04j</w:t>
            </w:r>
          </w:p>
        </w:tc>
        <w:tc>
          <w:tcPr>
            <w:tcW w:type="dxa" w:w="1440"/>
          </w:tcPr>
          <w:p>
            <w:pPr>
              <w:jc w:val="right"/>
            </w:pPr>
            <w:r>
              <w:rPr>
                <w:sz w:val="20"/>
              </w:rPr>
              <w:t>$641,000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William Arnold</w:t>
            </w:r>
          </w:p>
        </w:tc>
        <w:tc>
          <w:tcPr>
            <w:tcW w:type="dxa" w:w="1440"/>
          </w:tcPr>
          <w:p>
            <w:r>
              <w:rPr>
                <w:sz w:val="20"/>
              </w:rPr>
            </w:r>
          </w:p>
        </w:tc>
        <w:tc>
          <w:tcPr>
            <w:tcW w:type="dxa" w:w="5472"/>
          </w:tcPr>
          <w:p>
            <w:r>
              <w:rPr>
                <w:sz w:val="20"/>
              </w:rPr>
              <w:t>Project Manager</w:t>
            </w:r>
          </w:p>
        </w:tc>
        <w:tc>
          <w:tcPr>
            <w:tcW w:type="dxa" w:w="4032"/>
          </w:tcPr>
          <w:p>
            <w:r>
              <w:rPr>
                <w:sz w:val="20"/>
              </w:rPr>
            </w:r>
          </w:p>
        </w:tc>
        <w:tc>
          <w:tcPr>
            <w:tcW w:type="dxa" w:w="360"/>
          </w:tcPr>
          <w:p>
            <w:r>
              <w:rPr>
                <w:sz w:val="20"/>
              </w:rPr>
            </w:r>
          </w:p>
        </w:tc>
        <w:tc>
          <w:tcPr>
            <w:tcW w:type="dxa" w:w="360"/>
          </w:tcPr>
          <w:p>
            <w:pPr>
              <w:jc w:val="right"/>
            </w:pPr>
            <w:r>
              <w:rPr>
                <w:sz w:val="20"/>
              </w:rPr>
              <w:t>27%</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$57,800</w:t>
            </w:r>
          </w:p>
        </w:tc>
      </w:tr>
      <w:tr>
        <w:tc>
          <w:tcPr>
            <w:tcW w:type="dxa" w:w="864"/>
          </w:tcPr>
          <w:p>
            <w:r>
              <w:rPr>
                <w:sz w:val="20"/>
              </w:rPr>
              <w:t>Graduate Student Research Assistant</w:t>
            </w:r>
          </w:p>
        </w:tc>
        <w:tc>
          <w:tcPr>
            <w:tcW w:type="dxa" w:w="1440"/>
          </w:tcPr>
          <w:p>
            <w:r>
              <w:rPr>
                <w:sz w:val="20"/>
              </w:rPr>
            </w:r>
          </w:p>
        </w:tc>
        <w:tc>
          <w:tcPr>
            <w:tcW w:type="dxa" w:w="5472"/>
          </w:tcPr>
          <w:p>
            <w:r>
              <w:rPr>
                <w:sz w:val="20"/>
              </w:rPr>
              <w:t>Laboratory work</w:t>
            </w:r>
          </w:p>
        </w:tc>
        <w:tc>
          <w:tcPr>
            <w:tcW w:type="dxa" w:w="4032"/>
          </w:tcPr>
          <w:p>
            <w:r>
              <w:rPr>
                <w:sz w:val="20"/>
              </w:rPr>
            </w:r>
          </w:p>
        </w:tc>
        <w:tc>
          <w:tcPr>
            <w:tcW w:type="dxa" w:w="360"/>
          </w:tcPr>
          <w:p>
            <w:r>
              <w:rPr>
                <w:sz w:val="20"/>
              </w:rPr>
            </w:r>
          </w:p>
        </w:tc>
        <w:tc>
          <w:tcPr>
            <w:tcW w:type="dxa" w:w="360"/>
          </w:tcPr>
          <w:p>
            <w:pPr>
              <w:jc w:val="right"/>
            </w:pPr>
            <w:r>
              <w:rPr>
                <w:sz w:val="20"/>
              </w:rPr>
              <w:t>44%</w:t>
            </w:r>
          </w:p>
        </w:tc>
        <w:tc>
          <w:tcPr>
            <w:tcW w:type="dxa" w:w="360"/>
          </w:tcPr>
          <w:p>
            <w:pPr>
              <w:jc w:val="right"/>
            </w:pPr>
            <w:r>
              <w:rPr>
                <w:sz w:val="20"/>
              </w:rPr>
              <w:t>0.94</w:t>
            </w:r>
          </w:p>
        </w:tc>
        <w:tc>
          <w:tcPr>
            <w:tcW w:type="dxa" w:w="360"/>
          </w:tcPr>
          <w:p>
            <w:r>
              <w:rPr>
                <w:sz w:val="20"/>
              </w:rPr>
            </w:r>
          </w:p>
        </w:tc>
        <w:tc>
          <w:tcPr>
            <w:tcW w:type="dxa" w:w="1152"/>
          </w:tcPr>
          <w:p>
            <w:pPr>
              <w:jc w:val="right"/>
            </w:pPr>
            <w:r>
              <w:rPr>
                <w:sz w:val="20"/>
              </w:rPr>
              <w:t>$106,785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$164,585</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TBD</w:t>
            </w:r>
          </w:p>
        </w:tc>
        <w:tc>
          <w:tcPr>
            <w:tcW w:type="dxa" w:w="1440"/>
          </w:tcPr>
          <w:p>
            <w:r>
              <w:rPr>
                <w:sz w:val="20"/>
              </w:rPr>
              <w:t>Internal services or fees (uncommon)</w:t>
            </w:r>
          </w:p>
        </w:tc>
        <w:tc>
          <w:tcPr>
            <w:tcW w:type="dxa" w:w="5472"/>
          </w:tcPr>
          <w:p>
            <w:r>
              <w:rPr>
                <w:sz w:val="20"/>
              </w:rPr>
              <w:t>analytical fees in UMN central laboratory facilities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w:t>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w:t>
            </w:r>
          </w:p>
        </w:tc>
        <w:tc>
          <w:tcPr>
            <w:tcW w:type="dxa" w:w="4032"/>
          </w:tcPr>
          <w:p>
            <w:r>
              <w:rPr>
                <w:sz w:val="20"/>
              </w:rPr>
              <w:t>Chemicals, solvents, and material to conduct the work</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$23,415</w:t>
            </w:r>
          </w:p>
        </w:tc>
      </w:tr>
      <w:tr>
        <w:tc>
          <w:tcPr>
            <w:tcW w:type="dxa" w:w="864"/>
          </w:tcPr>
          <w:p>
            <w:r>
              <w:rPr>
                <w:sz w:val="20"/>
              </w:rPr>
            </w:r>
          </w:p>
        </w:tc>
        <w:tc>
          <w:tcPr>
            <w:tcW w:type="dxa" w:w="1440"/>
          </w:tcPr>
          <w:p>
            <w:r>
              <w:rPr>
                <w:sz w:val="20"/>
              </w:rPr>
              <w:t>Tools and Supplies</w:t>
            </w:r>
          </w:p>
        </w:tc>
        <w:tc>
          <w:tcPr>
            <w:tcW w:type="dxa" w:w="5472"/>
          </w:tcPr>
          <w:p>
            <w:r>
              <w:rPr>
                <w:sz w:val="20"/>
              </w:rPr>
              <w:t>Instrument maintenance</w:t>
            </w:r>
          </w:p>
        </w:tc>
        <w:tc>
          <w:tcPr>
            <w:tcW w:type="dxa" w:w="4032"/>
          </w:tcPr>
          <w:p>
            <w:r>
              <w:rPr>
                <w:sz w:val="20"/>
              </w:rPr>
              <w:t>Support for upkeep of mass spectrometry system</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$35,415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Anticipate up to 6 trips per year, up to 200 miles, 2 people per trip.</w:t>
            </w:r>
          </w:p>
        </w:tc>
        <w:tc>
          <w:tcPr>
            <w:tcW w:type="dxa" w:w="4032"/>
          </w:tcPr>
          <w:p>
            <w:r>
              <w:rPr>
                <w:sz w:val="20"/>
              </w:rPr>
              <w:t>Travel to lakes to collect samples before, during, and after blooms.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$2,500</w:t>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Two conference events in Minnesota (e.g., MN AWWA, MN Water Conference)</w:t>
            </w:r>
          </w:p>
        </w:tc>
        <w:tc>
          <w:tcPr>
            <w:tcW w:type="dxa" w:w="4032"/>
          </w:tcPr>
          <w:p>
            <w:r>
              <w:rPr>
                <w:sz w:val="20"/>
              </w:rPr>
              <w:t>Present results to community/stakeholders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$4,000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fees</w:t>
            </w:r>
          </w:p>
        </w:tc>
        <w:tc>
          <w:tcPr>
            <w:tcW w:type="dxa" w:w="4032"/>
          </w:tcPr>
          <w:p>
            <w:r>
              <w:rPr>
                <w:sz w:val="20"/>
              </w:rPr>
              <w:t>Provide maximum exposure for publications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$220,000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U of MN Indirect Costs</w:t>
            </w:r>
          </w:p>
        </w:tc>
        <w:tc>
          <w:tcPr>
            <w:tcW w:type="dxa" w:w="6120"/>
          </w:tcPr>
          <w:p>
            <w:r>
              <w:rPr>
                <w:sz w:val="20"/>
              </w:rPr>
              <w:t>UMN facilities and administration</w:t>
            </w:r>
          </w:p>
        </w:tc>
        <w:tc>
          <w:tcPr>
            <w:tcW w:type="dxa" w:w="1080"/>
          </w:tcPr>
          <w:p>
            <w:r>
              <w:rPr>
                <w:sz w:val="20"/>
              </w:rPr>
              <w:t>Secured</w:t>
            </w:r>
          </w:p>
        </w:tc>
        <w:tc>
          <w:tcPr>
            <w:tcW w:type="dxa" w:w="1440"/>
          </w:tcPr>
          <w:p>
            <w:pPr>
              <w:jc w:val="right"/>
            </w:pPr>
            <w:r>
              <w:rPr>
                <w:sz w:val="20"/>
              </w:rPr>
              <w:t>$101,000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$101,000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$101,000</w:t>
            </w:r>
          </w:p>
        </w:tc>
      </w:tr>
    </w:tbl>
    <w:p/>
    <w:p>
      <w:r>
        <w:rPr>
          <w:b/>
        </w:rPr>
        <w:t>Total Project Cost: $321,000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bc67b027-5da.pdf</w:t>
          </w:r>
        </w:hyperlink>
      </w:r>
    </w:p>
    <w:p>
      <w:pPr>
        <w:pStyle w:val="Heading4"/>
        <w:spacing w:before="40" w:after="20"/>
      </w:pPr>
      <w:r>
        <w:rPr>
          <w:b/>
          <w:i/>
          <w:color w:val="000000"/>
          <w:sz w:val="24"/>
        </w:rPr>
        <w:t>Alternate Text for Visual Component</w:t>
      </w:r>
    </w:p>
    <w:p>
      <w:r>
        <w:t>A picture of a sunlit lake with green growth (cyanobacteria) due to the presence of nutrients, light, and heat. The cyanobacteria generate toxins, and these are degraded by reactive species generated by sunlight. Understanding the details of this cycle is key to protecting humans and wildlife from these toxins....</w:t>
      </w:r>
    </w:p>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Approval to Submit - UMN</w:t>
            </w:r>
          </w:p>
        </w:tc>
        <w:tc>
          <w:tcPr>
            <w:tcW w:type="dxa" w:w="5400"/>
          </w:tcPr>
          <w:p>
            <w:r>
              <w:rPr>
                <w:sz w:val="20"/>
              </w:rPr>
            </w:r>
            <w:r>
              <w:rPr>
                <w:color w:val="000000" w:themeColor="hyperlink"/>
                <w:sz w:val="20"/>
                <w:u w:val="single"/>
              </w:rPr>
              <w:hyperlink r:id="rId13">
                <w:r>
                  <w:rPr/>
                  <w:t>c4fdf656-49a.pdf</w:t>
                </w:r>
              </w:hyperlink>
            </w:r>
          </w:p>
        </w:tc>
      </w:tr>
      <w:tr>
        <w:tc>
          <w:tcPr>
            <w:tcW w:type="dxa" w:w="5400"/>
          </w:tcPr>
          <w:p>
            <w:r>
              <w:rPr>
                <w:sz w:val="20"/>
              </w:rPr>
              <w:t>2025-084 Research Addendum revised_final</w:t>
            </w:r>
          </w:p>
        </w:tc>
        <w:tc>
          <w:tcPr>
            <w:tcW w:type="dxa" w:w="5400"/>
          </w:tcPr>
          <w:p>
            <w:r>
              <w:rPr>
                <w:sz w:val="20"/>
              </w:rPr>
            </w:r>
            <w:r>
              <w:rPr>
                <w:color w:val="000000" w:themeColor="hyperlink"/>
                <w:sz w:val="20"/>
                <w:u w:val="single"/>
              </w:rPr>
              <w:hyperlink r:id="rId14">
                <w:r>
                  <w:rPr/>
                  <w:t>91d6d537-5a5.docx</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Per comments, none needed.</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Yes, I understand the UMN Policy on travel applies.</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No</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Katie Sauer (budget)</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N/A</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c67b027-5da.pdf" TargetMode="External"/><Relationship Id="rId13" Type="http://schemas.openxmlformats.org/officeDocument/2006/relationships/hyperlink" Target="https://lccmrprojectmgmt.leg.mn/media/attachments/c4fdf656-49a.pdf" TargetMode="External"/><Relationship Id="rId14" Type="http://schemas.openxmlformats.org/officeDocument/2006/relationships/hyperlink" Target="https://lccmrprojectmgmt.leg.mn/media/attachments/91d6d537-5a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Cyanotoxins in Minnesota Lakes: The Role of Sunlight</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