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2025-054</w:t>
      </w:r>
    </w:p>
    <w:p>
      <w:r>
        <w:rPr>
          <w:b/>
        </w:rPr>
        <w:t xml:space="preserve">Staff Lead: </w:t>
      </w:r>
      <w:r>
        <w:t>Tom Dietrich</w:t>
      </w:r>
    </w:p>
    <w:p>
      <w:r>
        <w:rPr>
          <w:b/>
        </w:rPr>
        <w:t xml:space="preserve">Date this document submitted to LCCMR: </w:t>
      </w:r>
      <w:r>
        <w:t>June 6, 2025</w:t>
      </w:r>
    </w:p>
    <w:p>
      <w:r>
        <w:rPr>
          <w:b/>
        </w:rPr>
        <w:t xml:space="preserve">Project Title: </w:t>
      </w:r>
      <w:r>
        <w:t>Engaging our Diverse Public in Environmental Stewardship - Phase 2</w:t>
      </w:r>
    </w:p>
    <w:p>
      <w:r>
        <w:rPr>
          <w:b/>
        </w:rPr>
        <w:t xml:space="preserve">Project Budget: </w:t>
      </w:r>
      <w:r>
        <w:t>$249,000</w:t>
      </w:r>
    </w:p>
    <w:p/>
    <w:p>
      <w:pPr>
        <w:pStyle w:val="Heading2"/>
        <w:spacing w:before="0" w:after="80"/>
      </w:pPr>
      <w:r>
        <w:rPr>
          <w:b/>
          <w:color w:val="2C559C"/>
          <w:sz w:val="28"/>
        </w:rPr>
        <w:t>Project Manager Information</w:t>
      </w:r>
    </w:p>
    <w:p>
      <w:r>
        <w:rPr>
          <w:b/>
        </w:rPr>
        <w:t xml:space="preserve">Name: </w:t>
      </w:r>
      <w:r>
        <w:t>Brennan Blue</w:t>
      </w:r>
    </w:p>
    <w:p>
      <w:r>
        <w:rPr>
          <w:b/>
        </w:rPr>
        <w:t xml:space="preserve">Organization: </w:t>
      </w:r>
      <w:r>
        <w:t>Great River Greening</w:t>
      </w:r>
    </w:p>
    <w:p>
      <w:r>
        <w:rPr>
          <w:b/>
        </w:rPr>
        <w:t xml:space="preserve">Office Telephone: </w:t>
      </w:r>
      <w:r>
        <w:t>(651) 665-9500</w:t>
      </w:r>
    </w:p>
    <w:p>
      <w:r>
        <w:rPr>
          <w:b/>
        </w:rPr>
        <w:t xml:space="preserve">Email: </w:t>
      </w:r>
      <w:r>
        <w:t>bblue@greatrivergreening.org</w:t>
      </w:r>
    </w:p>
    <w:p>
      <w:r>
        <w:rPr>
          <w:b/>
        </w:rPr>
        <w:t xml:space="preserve">Web Address: </w:t>
      </w:r>
      <w:r>
        <w:t>https://www.greatrivergreening.org/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05e</w:t>
      </w:r>
    </w:p>
    <w:p>
      <w:r>
        <w:rPr>
          <w:b/>
        </w:rPr>
        <w:t xml:space="preserve">Appropriation Language: </w:t>
      </w:r>
      <w:r>
        <w:t xml:space="preserve">$249,000 the first year is from the trust fund to the commissioner of natural resources for an agreement with Great River Greening to increase participation in natural resources conservation and restoration efforts and careers through volunteer, internship, and youth engagement activities, with a focus on diverse audiences that more accurately reflect local demographic and socioeconomic conditions in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Through outreach, education, internships and hands-on restoration activities, we will engage Minnesota’s diverse population in community-based conservation work and learning that strengthens connection to and restores our natural areas.</w:t>
      </w:r>
    </w:p>
    <w:p>
      <w:pPr>
        <w:spacing w:after="60"/>
      </w:pPr>
      <w:r>
        <w:rPr>
          <w:b/>
        </w:rPr>
        <w:t>Describe the opportunity or problem your proposal seeks to address. Include any relevant background information.</w:t>
      </w:r>
    </w:p>
    <w:p>
      <w:r>
        <w:t xml:space="preserve">Great River Greening believes that Minnesota’s natural areas and environmental careers should be accessible to and enjoyed by our diverse and changing population. In pursuit of this vision, we recognize that historic and present-day inequities have created systemic barriers of access to natural systems and green spaces for communities of color, Indigenous peoples, and lower-income communities. This includes barriers to equitable participation and representation within the environmental field itself. Likewise, environmental conservation careers and opportunities are often more available to those living in the seven-county metropolitan area, despite the breadth of vital natural areas presenting conservation opportunities and needs through the state. </w:t>
        <w:br/>
        <w:t xml:space="preserve"> </w:t>
        <w:br/>
        <w:t>Our “Engaging the Diverse Public of Minnesota in Environmental Stewardship” program works to address these disparities by developing relationships, projects, internships, and opportunities that will (1) improve access to and enjoyment of natural areas, (2) grant Minnesotans exposure to a variety of conservation career pathways, and (3) strengthen a collective conservation ethic while restoring Minnesota’s natural areas.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Great River Greening will develop and host a variety of engagement opportunities that connect Minnesotans to conservation work, learning, internships, and hands-on restoration events. Our overarching goals include (1) community outreach and relationship building to engage communities underrepresented in conservation work and careers, (2) environmental education and hands-on restoration initiatives to connect Minnesotans to the many benefits that public lands and environmental careers offer, (3) cultivating an environmental stewardship ethic in the public, and (4) restoring our shared natural areas through community-based conservation work. </w:t>
        <w:br/>
        <w:t xml:space="preserve"> </w:t>
        <w:br/>
        <w:t xml:space="preserve">We will engage 1,250 volunteers, 500 youth, and 6 interns with demographic goals aimed to equitably provide conservation opportunities to Minnesota’s diverse public. Activities will prioritize engagements in Greater MN, Environmental Justice neighborhoods, and majority BIPOC community groups/spaces, as described in our Activities section.   </w:t>
        <w:br/>
        <w:t xml:space="preserve"> </w:t>
        <w:br/>
        <w:t>The conservation and restoration engagements described in Activity 1 will target 65-75% of events occurring outside the seven-county metro area, with the remaining 25-35% of events being provided in the Environmental Justice neighborhoods. Our Activity 2 internship program will target at least 50% BIPOC representation. Our BIPOC youth and young adult education events in Activity 3 will occur in communities or groups with at least 50% BIPOC representation.</w:t>
      </w:r>
    </w:p>
    <w:p>
      <w:pPr>
        <w:spacing w:after="60"/>
      </w:pPr>
      <w:r>
        <w:rPr>
          <w:b/>
        </w:rPr>
        <w:t xml:space="preserve">What are the specific project outcomes as they relate to the public purpose of protection, conservation, preservation, and enhancement of the state’s natural resources? </w:t>
      </w:r>
    </w:p>
    <w:p>
      <w:r>
        <w:t>As a result of this program, Minnesota’s natural resources will be directly conserved and enhanced through at least 20 restoration projects on protected public land throughout Minnesota. Further, by engaging and supporting a broad, diverse population base in environmental education and hands-on restoration work, this program will cultivate a long-lasting, applied conservation and stewardship ethic in Minnesotans. Our community-based, inclusive restoration work invites all participants to view themselves as the ongoing stewards of Minnesota’s shared natural systems and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Metro</w:t>
      </w:r>
      <w:r>
        <w:t xml:space="preserve">, </w:t>
      </w:r>
      <w:r>
        <w:t>SE</w:t>
      </w:r>
      <w:r>
        <w:t xml:space="preserve">, </w:t>
      </w:r>
      <w:r>
        <w:t>SW</w:t>
      </w:r>
      <w:r>
        <w:t xml:space="preserve">, </w:t>
      </w:r>
    </w:p>
    <w:p>
      <w:r>
        <w:rPr>
          <w:b/>
        </w:rPr>
        <w:t xml:space="preserve">What is the best scale to describe the area impacted by your work?  </w:t>
        <w:br/>
        <w:tab/>
      </w:r>
      <w:r>
        <w:t xml:space="preserve">Region(s): </w:t>
      </w:r>
      <w:r>
        <w:t>Central</w:t>
      </w:r>
      <w:r>
        <w:t xml:space="preserve">, </w:t>
      </w:r>
      <w:r>
        <w:t>Metro</w:t>
      </w:r>
      <w:r>
        <w:t xml:space="preserve">, </w:t>
      </w:r>
      <w:r>
        <w:t>SE</w:t>
      </w:r>
      <w:r>
        <w:t xml:space="preserve">, </w:t>
      </w:r>
      <w:r>
        <w:t>SW</w:t>
      </w:r>
      <w:r>
        <w:t xml:space="preserve">, </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Engage 1,250 local volunteers through community outreach, public education and habitat restoration events.</w:t>
      </w:r>
    </w:p>
    <w:p>
      <w:r>
        <w:rPr>
          <w:b/>
        </w:rPr>
        <w:t xml:space="preserve">Activity Budget: </w:t>
      </w:r>
      <w:r>
        <w:t>$127,400</w:t>
      </w:r>
    </w:p>
    <w:p>
      <w:r>
        <w:rPr>
          <w:b/>
        </w:rPr>
        <w:t xml:space="preserve">Activity Description: </w:t>
        <w:br/>
      </w:r>
      <w:r>
        <w:t xml:space="preserve">Outreach and event materials will be translated into multiple languages to remove barriers of access. Public, community-based environmental education engagements will be provided to meet groups where they are and build relationships along the way, with the end goal of then recruiting participants to join in hands-on restoration events. When possible, community groups will be invited to co-design restoration events to strengthen community-input and buy-in while nurturing a conservation ethic. </w:t>
        <w:br/>
        <w:t xml:space="preserve"> </w:t>
        <w:br/>
        <w:t xml:space="preserve">Hands-on restoration events will occur on public, protected land with the goals of (1) increasing a conservation ethic in volunteers (2) by training and educating them in stewardship work that (3) restores Minnesota’s natural areas. Events will enhance and restore natural areas through planting, seeding, invasive species removal, and other site enhancements. Restoration events will be family-friendly. Healthy snacks or meals will be provided to reduce barriers to participation. All hands-on restoration volunteers will be fitted with necessary protective equipment, tools, and training needed to participate in these activities safely. Educational materials promoting action-based environmental stewardship strategies at all events. </w:t>
        <w:br/>
        <w:t xml:space="preserve"> </w:t>
        <w:br/>
        <w:t>Activity 1 will target 65-75% of events occurring in Greater MN with the remaining engagements occurring in Environmental Justice neighborhoods. Demographic data on all volunteers will be requested and documented.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Fall conservations events and engagements planned and implemented, 3 events, 100 individuals engaged</w:t>
            </w:r>
          </w:p>
        </w:tc>
        <w:tc>
          <w:tcPr>
            <w:tcW w:type="dxa" w:w="2160"/>
          </w:tcPr>
          <w:p>
            <w:pPr>
              <w:jc w:val="right"/>
            </w:pPr>
            <w:r>
              <w:rPr>
                <w:sz w:val="20"/>
              </w:rPr>
              <w:t>December 31, 2025</w:t>
            </w:r>
          </w:p>
        </w:tc>
      </w:tr>
      <w:tr>
        <w:tc>
          <w:tcPr>
            <w:tcW w:type="dxa" w:w="8640"/>
          </w:tcPr>
          <w:p>
            <w:r>
              <w:rPr>
                <w:sz w:val="20"/>
              </w:rPr>
              <w:t>Full year of conservation events and engagements planned and implemented, 11 events, 675 individuals engaged</w:t>
            </w:r>
          </w:p>
        </w:tc>
        <w:tc>
          <w:tcPr>
            <w:tcW w:type="dxa" w:w="2160"/>
          </w:tcPr>
          <w:p>
            <w:pPr>
              <w:jc w:val="right"/>
            </w:pPr>
            <w:r>
              <w:rPr>
                <w:sz w:val="20"/>
              </w:rPr>
              <w:t>December 31, 2026</w:t>
            </w:r>
          </w:p>
        </w:tc>
      </w:tr>
      <w:tr>
        <w:tc>
          <w:tcPr>
            <w:tcW w:type="dxa" w:w="8640"/>
          </w:tcPr>
          <w:p>
            <w:r>
              <w:rPr>
                <w:sz w:val="20"/>
              </w:rPr>
              <w:t>Further conservation events and engagements planned and implemented, total of 20 events, 1250 individuals engaged</w:t>
            </w:r>
          </w:p>
        </w:tc>
        <w:tc>
          <w:tcPr>
            <w:tcW w:type="dxa" w:w="2160"/>
          </w:tcPr>
          <w:p>
            <w:pPr>
              <w:jc w:val="right"/>
            </w:pPr>
            <w:r>
              <w:rPr>
                <w:sz w:val="20"/>
              </w:rPr>
              <w:t>December 31, 2027</w:t>
            </w:r>
          </w:p>
        </w:tc>
      </w:tr>
      <w:tr>
        <w:tc>
          <w:tcPr>
            <w:tcW w:type="dxa" w:w="8640"/>
          </w:tcPr>
          <w:p>
            <w:r>
              <w:rPr>
                <w:sz w:val="20"/>
              </w:rPr>
              <w:t>Additional spring events developed and hosted, if budget allows</w:t>
            </w:r>
          </w:p>
        </w:tc>
        <w:tc>
          <w:tcPr>
            <w:tcW w:type="dxa" w:w="2160"/>
          </w:tcPr>
          <w:p>
            <w:pPr>
              <w:jc w:val="right"/>
            </w:pPr>
            <w:r>
              <w:rPr>
                <w:sz w:val="20"/>
              </w:rPr>
              <w:t>June 30, 2028</w:t>
            </w:r>
          </w:p>
        </w:tc>
      </w:tr>
    </w:tbl>
    <w:p/>
    <w:p>
      <w:pPr>
        <w:pStyle w:val="Heading3"/>
        <w:spacing w:after="60"/>
      </w:pPr>
      <w:r>
        <w:rPr>
          <w:b/>
          <w:color w:val="254885"/>
          <w:sz w:val="26"/>
        </w:rPr>
        <w:t>Activity 2: Great River Greening will provide three paid internships during 2026 and 2027.</w:t>
      </w:r>
    </w:p>
    <w:p>
      <w:r>
        <w:rPr>
          <w:b/>
        </w:rPr>
        <w:t xml:space="preserve">Activity Budget: </w:t>
      </w:r>
      <w:r>
        <w:t>$67,500</w:t>
      </w:r>
    </w:p>
    <w:p>
      <w:r>
        <w:rPr>
          <w:b/>
        </w:rPr>
        <w:t xml:space="preserve">Activity Description: </w:t>
        <w:br/>
      </w:r>
      <w:r>
        <w:t xml:space="preserve">Great River Greening will recruit, hire, train, and support at least six interns who will receive conservation career training and experience in community-based conservation work. Interns will be recruited through a variety of channels across the state. Staff will work with local education facilities to identify students interested in internship opportunities, with a particular focus on recruiting BIPOC participants and students in schools in Greater Minnesota. We will target at least 50% BIPOC representation in our intern program to support ongoing efforts to reduce representation disparities in the sector.  </w:t>
        <w:br/>
        <w:t xml:space="preserve"> </w:t>
        <w:br/>
        <w:t>Core internships tasks will include supporting community outreach and engagement, environmental education, and conservation events. Interns will support these efforts in both the metro area and Greater Minnesota. Additionally, each intern will be provided the opportunity to meet with leadership in the varying departments of our growing conservation non-profit, providing exposure and learning in community stewardship, ecological conservation, administration, operations, and funding/finance. To support career exploration and skill development, each intern will design and carryout a “capstone project” that supports conservation work in an area of their choosing. Concluding the internship, each intern will be tasked with sharing a personal testimonial reflecting on the experience.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Program review and refinement, begin networking with Greater MN and BIPOC community groups for recruitment</w:t>
            </w:r>
          </w:p>
        </w:tc>
        <w:tc>
          <w:tcPr>
            <w:tcW w:type="dxa" w:w="2160"/>
          </w:tcPr>
          <w:p>
            <w:pPr>
              <w:jc w:val="right"/>
            </w:pPr>
            <w:r>
              <w:rPr>
                <w:sz w:val="20"/>
              </w:rPr>
              <w:t>December 31, 2025</w:t>
            </w:r>
          </w:p>
        </w:tc>
      </w:tr>
      <w:tr>
        <w:tc>
          <w:tcPr>
            <w:tcW w:type="dxa" w:w="8640"/>
          </w:tcPr>
          <w:p>
            <w:r>
              <w:rPr>
                <w:sz w:val="20"/>
              </w:rPr>
              <w:t>Three interns hired and hosted, three capstone projects and personal testimonies completed</w:t>
            </w:r>
          </w:p>
        </w:tc>
        <w:tc>
          <w:tcPr>
            <w:tcW w:type="dxa" w:w="2160"/>
          </w:tcPr>
          <w:p>
            <w:pPr>
              <w:jc w:val="right"/>
            </w:pPr>
            <w:r>
              <w:rPr>
                <w:sz w:val="20"/>
              </w:rPr>
              <w:t>December 31, 2026</w:t>
            </w:r>
          </w:p>
        </w:tc>
      </w:tr>
      <w:tr>
        <w:tc>
          <w:tcPr>
            <w:tcW w:type="dxa" w:w="8640"/>
          </w:tcPr>
          <w:p>
            <w:r>
              <w:rPr>
                <w:sz w:val="20"/>
              </w:rPr>
              <w:t>Six total interns hired and hosted, six capstone projects and personal testimonies completed</w:t>
            </w:r>
          </w:p>
        </w:tc>
        <w:tc>
          <w:tcPr>
            <w:tcW w:type="dxa" w:w="2160"/>
          </w:tcPr>
          <w:p>
            <w:pPr>
              <w:jc w:val="right"/>
            </w:pPr>
            <w:r>
              <w:rPr>
                <w:sz w:val="20"/>
              </w:rPr>
              <w:t>December 31, 2027</w:t>
            </w:r>
          </w:p>
        </w:tc>
      </w:tr>
    </w:tbl>
    <w:p/>
    <w:p>
      <w:pPr>
        <w:pStyle w:val="Heading3"/>
        <w:spacing w:after="60"/>
      </w:pPr>
      <w:r>
        <w:rPr>
          <w:b/>
          <w:color w:val="254885"/>
          <w:sz w:val="26"/>
        </w:rPr>
        <w:t>Activity 3: Youth Engagement</w:t>
      </w:r>
    </w:p>
    <w:p>
      <w:r>
        <w:rPr>
          <w:b/>
        </w:rPr>
        <w:t xml:space="preserve">Activity Budget: </w:t>
      </w:r>
      <w:r>
        <w:t>$54,100</w:t>
      </w:r>
    </w:p>
    <w:p>
      <w:r>
        <w:rPr>
          <w:b/>
        </w:rPr>
        <w:t xml:space="preserve">Activity Description: </w:t>
        <w:br/>
      </w:r>
      <w:r>
        <w:t xml:space="preserve">Great River Greening will engage 500 youth and young adults in environmental stewardship work and education. This will include both (1) in-class/in-house introductory conservation lessons and (2) outdoor learning opportunities in the form of habitat monitoring and hands-on restoration work. Lessons and engagements will be designed with teachers and community leaders to fit the youth's needs and grant educators access/support to curriculum design. Additionally, curriculum and engagements will be designed to both increase enjoyment of and conservation commitment to local natural areas. </w:t>
        <w:br/>
        <w:t xml:space="preserve"> </w:t>
        <w:br/>
        <w:t xml:space="preserve">Students will receive exposure to a variety of environmental professionals through the series of engagements, highlighting a wide range of potential conservation careers to consider for their future. Local BIPOC community leaders and experts will be brought in as consultants or presenters to ensure a wide vary of representation within a sector still working towards equitable representation. </w:t>
        <w:br/>
        <w:t>Engagements will be carried in public schools or community groups with at least 50% BIPOC representation. Surveys will be implemented with teachers, community leaders, and/or youth to gauge quality and effectiveness of engagements.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Continue strategic partnerships with youth organizations and schools, outreach to new groups to expand representation</w:t>
            </w:r>
          </w:p>
        </w:tc>
        <w:tc>
          <w:tcPr>
            <w:tcW w:type="dxa" w:w="2160"/>
          </w:tcPr>
          <w:p>
            <w:pPr>
              <w:jc w:val="right"/>
            </w:pPr>
            <w:r>
              <w:rPr>
                <w:sz w:val="20"/>
              </w:rPr>
              <w:t>December 31, 2025</w:t>
            </w:r>
          </w:p>
        </w:tc>
      </w:tr>
      <w:tr>
        <w:tc>
          <w:tcPr>
            <w:tcW w:type="dxa" w:w="8640"/>
          </w:tcPr>
          <w:p>
            <w:r>
              <w:rPr>
                <w:sz w:val="20"/>
              </w:rPr>
              <w:t>Engage 250 students across at least 5 engagements with majority BIPOC schools or community groups</w:t>
            </w:r>
          </w:p>
        </w:tc>
        <w:tc>
          <w:tcPr>
            <w:tcW w:type="dxa" w:w="2160"/>
          </w:tcPr>
          <w:p>
            <w:pPr>
              <w:jc w:val="right"/>
            </w:pPr>
            <w:r>
              <w:rPr>
                <w:sz w:val="20"/>
              </w:rPr>
              <w:t>December 31, 2026</w:t>
            </w:r>
          </w:p>
        </w:tc>
      </w:tr>
      <w:tr>
        <w:tc>
          <w:tcPr>
            <w:tcW w:type="dxa" w:w="8640"/>
          </w:tcPr>
          <w:p>
            <w:r>
              <w:rPr>
                <w:sz w:val="20"/>
              </w:rPr>
              <w:t>Engage 500 total students across at least 10 engagements with majority BIPOC school/community groups</w:t>
            </w:r>
          </w:p>
        </w:tc>
        <w:tc>
          <w:tcPr>
            <w:tcW w:type="dxa" w:w="2160"/>
          </w:tcPr>
          <w:p>
            <w:pPr>
              <w:jc w:val="right"/>
            </w:pPr>
            <w:r>
              <w:rPr>
                <w:sz w:val="20"/>
              </w:rPr>
              <w:t>December 31,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Acknowledgement of funding sources will be included in all event postings and recognized verbally on the day of events. </w:t>
        <w:br/>
        <w:br/>
        <w:t>Demographic information for program participants will be collected and tracked through our online registration system and in-person paper registrations. When we join partner or coalition-based events, however, we do not always have direct access to demographics on age, race/ethnicity, etc. When possible and logical, we will used public records to provide demographic benchmarks (e.g. public school demographic reports).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first iteration of this program is underway and successfully meeting its aims, with a similar set of activities engaging our broad, diverse public in restoration activities, conservation internships, and applied educational opportunities with majority BIPOC youth communities. The second iteration of this program will build on the successes of the first, expanding our outreach, engagements, and hands-on restoration offerings: all resulting in more Minnesotans inclusively participating to restore our natural area while deepening their care and connection to conservation work and enjoyment. We anticipate returning in ML 2027 to support this program, if it continues to prove successful.</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Pollinator Central II: Habitat Improvement With Community Monitoring</w:t>
            </w:r>
          </w:p>
        </w:tc>
        <w:tc>
          <w:tcPr>
            <w:tcW w:type="dxa" w:w="4680"/>
          </w:tcPr>
          <w:p>
            <w:r>
              <w:rPr>
                <w:sz w:val="20"/>
              </w:rPr>
              <w:t>M.L. 2021, First Special Session, Chp. 6, Art. 6, Sec. 2, Subd. 08c</w:t>
            </w:r>
          </w:p>
        </w:tc>
        <w:tc>
          <w:tcPr>
            <w:tcW w:type="dxa" w:w="1440"/>
          </w:tcPr>
          <w:p>
            <w:pPr>
              <w:jc w:val="right"/>
            </w:pPr>
            <w:r>
              <w:rPr>
                <w:sz w:val="20"/>
              </w:rPr>
              <w:t>$631,000</w:t>
            </w:r>
          </w:p>
        </w:tc>
      </w:tr>
      <w:tr>
        <w:tc>
          <w:tcPr>
            <w:tcW w:type="dxa" w:w="4680"/>
          </w:tcPr>
          <w:p>
            <w:r>
              <w:rPr>
                <w:sz w:val="20"/>
              </w:rPr>
              <w:t>Engaging a Diverse Public in Environmental Stewardship</w:t>
            </w:r>
          </w:p>
        </w:tc>
        <w:tc>
          <w:tcPr>
            <w:tcW w:type="dxa" w:w="4680"/>
          </w:tcPr>
          <w:p>
            <w:r>
              <w:rPr>
                <w:sz w:val="20"/>
              </w:rPr>
              <w:t>M.L. 2022, , Chp. 94, Art. , Sec. 2, Subd. 05d</w:t>
            </w:r>
          </w:p>
        </w:tc>
        <w:tc>
          <w:tcPr>
            <w:tcW w:type="dxa" w:w="1440"/>
          </w:tcPr>
          <w:p>
            <w:pPr>
              <w:jc w:val="right"/>
            </w:pPr>
            <w:r>
              <w:rPr>
                <w:sz w:val="20"/>
              </w:rPr>
              <w:t>$300,000</w:t>
            </w:r>
          </w:p>
        </w:tc>
      </w:tr>
      <w:tr>
        <w:tc>
          <w:tcPr>
            <w:tcW w:type="dxa" w:w="4680"/>
          </w:tcPr>
          <w:p>
            <w:r>
              <w:rPr>
                <w:sz w:val="20"/>
              </w:rPr>
              <w:t>Biochar Implementation in Habitat Restoration: A Pilot</w:t>
            </w:r>
          </w:p>
        </w:tc>
        <w:tc>
          <w:tcPr>
            <w:tcW w:type="dxa" w:w="4680"/>
          </w:tcPr>
          <w:p>
            <w:r>
              <w:rPr>
                <w:sz w:val="20"/>
              </w:rPr>
              <w:t>M.L. 2023, , Chp. 60, Art. 2, Sec. 2, Subd. 07b</w:t>
            </w:r>
          </w:p>
        </w:tc>
        <w:tc>
          <w:tcPr>
            <w:tcW w:type="dxa" w:w="1440"/>
          </w:tcPr>
          <w:p>
            <w:pPr>
              <w:jc w:val="right"/>
            </w:pPr>
            <w:r>
              <w:rPr>
                <w:sz w:val="20"/>
              </w:rPr>
              <w:t>$185,000</w:t>
            </w:r>
          </w:p>
        </w:tc>
      </w:tr>
      <w:tr>
        <w:tc>
          <w:tcPr>
            <w:tcW w:type="dxa" w:w="4680"/>
          </w:tcPr>
          <w:p>
            <w:r>
              <w:rPr>
                <w:sz w:val="20"/>
              </w:rPr>
              <w:t>Pollinator Central III: Habitat Improvement with Community Monitoring</w:t>
            </w:r>
          </w:p>
        </w:tc>
        <w:tc>
          <w:tcPr>
            <w:tcW w:type="dxa" w:w="4680"/>
          </w:tcPr>
          <w:p>
            <w:r>
              <w:rPr>
                <w:sz w:val="20"/>
              </w:rPr>
              <w:t>M.L. 2023, , Chp. 60, Art. 2, Sec. 2, Subd. 08g</w:t>
            </w:r>
          </w:p>
        </w:tc>
        <w:tc>
          <w:tcPr>
            <w:tcW w:type="dxa" w:w="1440"/>
          </w:tcPr>
          <w:p>
            <w:pPr>
              <w:jc w:val="right"/>
            </w:pPr>
            <w:r>
              <w:rPr>
                <w:sz w:val="20"/>
              </w:rPr>
              <w:t>$190,000</w:t>
            </w:r>
          </w:p>
        </w:tc>
      </w:tr>
      <w:tr>
        <w:tc>
          <w:tcPr>
            <w:tcW w:type="dxa" w:w="4680"/>
          </w:tcPr>
          <w:p>
            <w:r>
              <w:rPr>
                <w:sz w:val="20"/>
              </w:rPr>
              <w:t>Restoring Forests and Savannas Using Silvopasture - Phase2</w:t>
            </w:r>
          </w:p>
        </w:tc>
        <w:tc>
          <w:tcPr>
            <w:tcW w:type="dxa" w:w="4680"/>
          </w:tcPr>
          <w:p>
            <w:r>
              <w:rPr>
                <w:sz w:val="20"/>
              </w:rPr>
              <w:t>M.L. 2023, , Chp. 60, Art. 2, Sec. 2, Subd. 08h</w:t>
            </w:r>
          </w:p>
        </w:tc>
        <w:tc>
          <w:tcPr>
            <w:tcW w:type="dxa" w:w="1440"/>
          </w:tcPr>
          <w:p>
            <w:pPr>
              <w:jc w:val="right"/>
            </w:pPr>
            <w:r>
              <w:rPr>
                <w:sz w:val="20"/>
              </w:rPr>
              <w:t>$674,000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Manager</w:t>
            </w:r>
          </w:p>
        </w:tc>
        <w:tc>
          <w:tcPr>
            <w:tcW w:type="dxa" w:w="1440"/>
          </w:tcPr>
          <w:p>
            <w:r>
              <w:rPr>
                <w:sz w:val="20"/>
              </w:rPr>
            </w:r>
          </w:p>
        </w:tc>
        <w:tc>
          <w:tcPr>
            <w:tcW w:type="dxa" w:w="5472"/>
          </w:tcPr>
          <w:p>
            <w:r>
              <w:rPr>
                <w:sz w:val="20"/>
              </w:rPr>
              <w:t>Responsible for project and grant oversight, event support, intern support, and youth event support</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$31,000</w:t>
            </w:r>
          </w:p>
        </w:tc>
      </w:tr>
      <w:tr>
        <w:tc>
          <w:tcPr>
            <w:tcW w:type="dxa" w:w="864"/>
          </w:tcPr>
          <w:p>
            <w:r>
              <w:rPr>
                <w:sz w:val="20"/>
              </w:rPr>
              <w:t>Education and Outreach Coordinator</w:t>
            </w:r>
          </w:p>
        </w:tc>
        <w:tc>
          <w:tcPr>
            <w:tcW w:type="dxa" w:w="1440"/>
          </w:tcPr>
          <w:p>
            <w:r>
              <w:rPr>
                <w:sz w:val="20"/>
              </w:rPr>
            </w:r>
          </w:p>
        </w:tc>
        <w:tc>
          <w:tcPr>
            <w:tcW w:type="dxa" w:w="5472"/>
          </w:tcPr>
          <w:p>
            <w:r>
              <w:rPr>
                <w:sz w:val="20"/>
              </w:rPr>
              <w:t>Outreach to diverse public, youth education engagements, internship supervision, event support</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$25,000</w:t>
            </w:r>
          </w:p>
        </w:tc>
      </w:tr>
      <w:tr>
        <w:tc>
          <w:tcPr>
            <w:tcW w:type="dxa" w:w="864"/>
          </w:tcPr>
          <w:p>
            <w:r>
              <w:rPr>
                <w:sz w:val="20"/>
              </w:rPr>
              <w:t>Field Coordinator</w:t>
            </w:r>
          </w:p>
        </w:tc>
        <w:tc>
          <w:tcPr>
            <w:tcW w:type="dxa" w:w="1440"/>
          </w:tcPr>
          <w:p>
            <w:r>
              <w:rPr>
                <w:sz w:val="20"/>
              </w:rPr>
            </w:r>
          </w:p>
        </w:tc>
        <w:tc>
          <w:tcPr>
            <w:tcW w:type="dxa" w:w="5472"/>
          </w:tcPr>
          <w:p>
            <w:r>
              <w:rPr>
                <w:sz w:val="20"/>
              </w:rPr>
              <w:t>On site coordination and support for restoration activities with volunteers and youth</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$20,000</w:t>
            </w:r>
          </w:p>
        </w:tc>
      </w:tr>
      <w:tr>
        <w:tc>
          <w:tcPr>
            <w:tcW w:type="dxa" w:w="864"/>
          </w:tcPr>
          <w:p>
            <w:r>
              <w:rPr>
                <w:sz w:val="20"/>
              </w:rPr>
              <w:t>Grant Administer</w:t>
            </w:r>
          </w:p>
        </w:tc>
        <w:tc>
          <w:tcPr>
            <w:tcW w:type="dxa" w:w="1440"/>
          </w:tcPr>
          <w:p>
            <w:r>
              <w:rPr>
                <w:sz w:val="20"/>
              </w:rPr>
            </w:r>
          </w:p>
        </w:tc>
        <w:tc>
          <w:tcPr>
            <w:tcW w:type="dxa" w:w="5472"/>
          </w:tcPr>
          <w:p>
            <w:r>
              <w:rPr>
                <w:sz w:val="20"/>
              </w:rPr>
              <w:t>Mange grant reporting and grant finances</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$6,000</w:t>
            </w:r>
          </w:p>
        </w:tc>
      </w:tr>
      <w:tr>
        <w:tc>
          <w:tcPr>
            <w:tcW w:type="dxa" w:w="864"/>
          </w:tcPr>
          <w:p>
            <w:r>
              <w:rPr>
                <w:sz w:val="20"/>
              </w:rPr>
              <w:t>Intern</w:t>
            </w:r>
          </w:p>
        </w:tc>
        <w:tc>
          <w:tcPr>
            <w:tcW w:type="dxa" w:w="1440"/>
          </w:tcPr>
          <w:p>
            <w:r>
              <w:rPr>
                <w:sz w:val="20"/>
              </w:rPr>
            </w:r>
          </w:p>
        </w:tc>
        <w:tc>
          <w:tcPr>
            <w:tcW w:type="dxa" w:w="5472"/>
          </w:tcPr>
          <w:p>
            <w:r>
              <w:rPr>
                <w:sz w:val="20"/>
              </w:rPr>
              <w:t>Interns to assist with community engagement and restoration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0.64</w:t>
            </w:r>
          </w:p>
        </w:tc>
        <w:tc>
          <w:tcPr>
            <w:tcW w:type="dxa" w:w="360"/>
          </w:tcPr>
          <w:p>
            <w:r>
              <w:rPr>
                <w:sz w:val="20"/>
              </w:rPr>
            </w:r>
          </w:p>
        </w:tc>
        <w:tc>
          <w:tcPr>
            <w:tcW w:type="dxa" w:w="1152"/>
          </w:tcPr>
          <w:p>
            <w:pPr>
              <w:jc w:val="right"/>
            </w:pPr>
            <w:r>
              <w:rPr>
                <w:sz w:val="20"/>
              </w:rPr>
              <w:t>$35,000</w:t>
            </w:r>
          </w:p>
        </w:tc>
      </w:tr>
      <w:tr>
        <w:tc>
          <w:tcPr>
            <w:tcW w:type="dxa" w:w="864"/>
          </w:tcPr>
          <w:p>
            <w:r>
              <w:rPr>
                <w:sz w:val="20"/>
              </w:rPr>
              <w:t>Volunteer Events Coordinator</w:t>
            </w:r>
          </w:p>
        </w:tc>
        <w:tc>
          <w:tcPr>
            <w:tcW w:type="dxa" w:w="1440"/>
          </w:tcPr>
          <w:p>
            <w:r>
              <w:rPr>
                <w:sz w:val="20"/>
              </w:rPr>
            </w:r>
          </w:p>
        </w:tc>
        <w:tc>
          <w:tcPr>
            <w:tcW w:type="dxa" w:w="5472"/>
          </w:tcPr>
          <w:p>
            <w:r>
              <w:rPr>
                <w:sz w:val="20"/>
              </w:rPr>
              <w:t>Volunteer event recruitment, coordination, and leadership</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$25,000</w:t>
            </w:r>
          </w:p>
        </w:tc>
      </w:tr>
      <w:tr>
        <w:tc>
          <w:tcPr>
            <w:tcW w:type="dxa" w:w="864"/>
          </w:tcPr>
          <w:p>
            <w:r>
              <w:rPr>
                <w:sz w:val="20"/>
              </w:rPr>
              <w:t>Ecologist</w:t>
            </w:r>
          </w:p>
        </w:tc>
        <w:tc>
          <w:tcPr>
            <w:tcW w:type="dxa" w:w="1440"/>
          </w:tcPr>
          <w:p>
            <w:r>
              <w:rPr>
                <w:sz w:val="20"/>
              </w:rPr>
            </w:r>
          </w:p>
        </w:tc>
        <w:tc>
          <w:tcPr>
            <w:tcW w:type="dxa" w:w="5472"/>
          </w:tcPr>
          <w:p>
            <w:r>
              <w:rPr>
                <w:sz w:val="20"/>
              </w:rPr>
              <w:t>Provide ecological oversight of restoration projects</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Propio Language Services</w:t>
            </w:r>
          </w:p>
        </w:tc>
        <w:tc>
          <w:tcPr>
            <w:tcW w:type="dxa" w:w="1440"/>
          </w:tcPr>
          <w:p>
            <w:r>
              <w:rPr>
                <w:sz w:val="20"/>
              </w:rPr>
              <w:t>Service Contract</w:t>
            </w:r>
          </w:p>
        </w:tc>
        <w:tc>
          <w:tcPr>
            <w:tcW w:type="dxa" w:w="5472"/>
          </w:tcPr>
          <w:p>
            <w:r>
              <w:rPr>
                <w:sz w:val="20"/>
              </w:rPr>
              <w:t>Translation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$8,000</w:t>
            </w:r>
          </w:p>
        </w:tc>
      </w:tr>
      <w:tr>
        <w:tc>
          <w:tcPr>
            <w:tcW w:type="dxa" w:w="864"/>
          </w:tcPr>
          <w:p>
            <w:r>
              <w:rPr>
                <w:sz w:val="20"/>
              </w:rPr>
              <w:t>TBD</w:t>
            </w:r>
          </w:p>
        </w:tc>
        <w:tc>
          <w:tcPr>
            <w:tcW w:type="dxa" w:w="1440"/>
          </w:tcPr>
          <w:p>
            <w:r>
              <w:rPr>
                <w:sz w:val="20"/>
              </w:rPr>
              <w:t>Service Contract</w:t>
            </w:r>
          </w:p>
        </w:tc>
        <w:tc>
          <w:tcPr>
            <w:tcW w:type="dxa" w:w="5472"/>
          </w:tcPr>
          <w:p>
            <w:r>
              <w:rPr>
                <w:sz w:val="20"/>
              </w:rPr>
              <w:t>Bus rentals for youth transportation to/from restoration sites. Typically school or youth group students. For example, transporting students from the South HS All Nations Program to a restoration and cultural learning opportunity at Oheyawahi.</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Service Contract</w:t>
            </w:r>
          </w:p>
        </w:tc>
        <w:tc>
          <w:tcPr>
            <w:tcW w:type="dxa" w:w="5472"/>
          </w:tcPr>
          <w:p>
            <w:r>
              <w:rPr>
                <w:sz w:val="20"/>
              </w:rPr>
              <w:t>Youth engagement speakers/consultants stipend - culturally appropriate representative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0.04</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Restoration supplies (native plants, trees, seed, erosion matting, etc.)</w:t>
            </w:r>
          </w:p>
        </w:tc>
        <w:tc>
          <w:tcPr>
            <w:tcW w:type="dxa" w:w="4032"/>
          </w:tcPr>
          <w:p>
            <w:r>
              <w:rPr>
                <w:sz w:val="20"/>
              </w:rPr>
              <w:t>Habitat enhancement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$41,000</w:t>
            </w:r>
          </w:p>
        </w:tc>
      </w:tr>
      <w:tr>
        <w:tc>
          <w:tcPr>
            <w:tcW w:type="dxa" w:w="864"/>
          </w:tcPr>
          <w:p>
            <w:r>
              <w:rPr>
                <w:sz w:val="20"/>
              </w:rPr>
            </w:r>
          </w:p>
        </w:tc>
        <w:tc>
          <w:tcPr>
            <w:tcW w:type="dxa" w:w="1440"/>
          </w:tcPr>
          <w:p>
            <w:r>
              <w:rPr>
                <w:sz w:val="20"/>
              </w:rPr>
              <w:t>Tools and Supplies</w:t>
            </w:r>
          </w:p>
        </w:tc>
        <w:tc>
          <w:tcPr>
            <w:tcW w:type="dxa" w:w="5472"/>
          </w:tcPr>
          <w:p>
            <w:r>
              <w:rPr>
                <w:sz w:val="20"/>
              </w:rPr>
              <w:t>Restoration event supplies (sanitation unit rental, gloves, safety glasses, volunteer tools, healthy snacks)</w:t>
            </w:r>
          </w:p>
        </w:tc>
        <w:tc>
          <w:tcPr>
            <w:tcW w:type="dxa" w:w="4032"/>
          </w:tcPr>
          <w:p>
            <w:r>
              <w:rPr>
                <w:sz w:val="20"/>
              </w:rPr>
              <w:t>Event supplies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Tools and Supplies</w:t>
            </w:r>
          </w:p>
        </w:tc>
        <w:tc>
          <w:tcPr>
            <w:tcW w:type="dxa" w:w="5472"/>
          </w:tcPr>
          <w:p>
            <w:r>
              <w:rPr>
                <w:sz w:val="20"/>
              </w:rPr>
              <w:t>Youth Engagement Events Supplies (tools, kids gloves, resource books, binoculars, healthy snacks)</w:t>
            </w:r>
          </w:p>
        </w:tc>
        <w:tc>
          <w:tcPr>
            <w:tcW w:type="dxa" w:w="4032"/>
          </w:tcPr>
          <w:p>
            <w:r>
              <w:rPr>
                <w:sz w:val="20"/>
              </w:rPr>
              <w:t>Event Supplies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r>
          </w:p>
        </w:tc>
        <w:tc>
          <w:tcPr>
            <w:tcW w:type="dxa" w:w="4032"/>
          </w:tcPr>
          <w:p>
            <w:r>
              <w:rPr>
                <w:sz w:val="20"/>
              </w:rPr>
              <w:t>Vehicle mileage to community outreach, restoration events, and engagement with interns. Meals and lodging for sites across Greater MN. All mileage, meals, and lodging expenses will abide by the Travel Reimbursement and Documentation Guide for OHF and LCCMR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Restoration event supplies (sanitation unit rental, gloves, safety glasses, volunteer tools, healthy snacks)</w:t>
            </w:r>
          </w:p>
        </w:tc>
        <w:tc>
          <w:tcPr>
            <w:tcW w:type="dxa" w:w="7560"/>
          </w:tcPr>
          <w:p>
            <w:r>
              <w:rPr>
                <w:sz w:val="20"/>
              </w:rPr>
              <w:t>Healthy snack option (granola bar, fruit) at volunteer events.  Volunteers will be at events in remote areas.</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Youth Engagement Events Supplies (tools, kids gloves, resource books, binoculars, healthy snacks)</w:t>
            </w:r>
          </w:p>
        </w:tc>
        <w:tc>
          <w:tcPr>
            <w:tcW w:type="dxa" w:w="7560"/>
          </w:tcPr>
          <w:p>
            <w:r>
              <w:rPr>
                <w:sz w:val="20"/>
              </w:rPr>
              <w:t>Healthy snacks for youth participants while we are in remote areas or missing classroom snacks.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Lessard-Sams Outdoor Heritage Funded projects.</w:t>
            </w:r>
          </w:p>
        </w:tc>
        <w:tc>
          <w:tcPr>
            <w:tcW w:type="dxa" w:w="6120"/>
          </w:tcPr>
          <w:p>
            <w:r>
              <w:rPr>
                <w:sz w:val="20"/>
              </w:rPr>
              <w:t>Site prep ahead of some events at OHF funded restoration and enhancement sites.</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Great River Greening cash match.</w:t>
            </w:r>
          </w:p>
        </w:tc>
        <w:tc>
          <w:tcPr>
            <w:tcW w:type="dxa" w:w="6120"/>
          </w:tcPr>
          <w:p>
            <w:r>
              <w:rPr>
                <w:sz w:val="20"/>
              </w:rPr>
              <w:t>Great River Greening direct expenses required to do the work for this grant.</w:t>
            </w:r>
          </w:p>
        </w:tc>
        <w:tc>
          <w:tcPr>
            <w:tcW w:type="dxa" w:w="1080"/>
          </w:tcPr>
          <w:p>
            <w:r>
              <w:rPr>
                <w:sz w:val="20"/>
              </w:rPr>
              <w:t>Pending</w:t>
            </w:r>
          </w:p>
        </w:tc>
        <w:tc>
          <w:tcPr>
            <w:tcW w:type="dxa" w:w="1440"/>
          </w:tcPr>
          <w:p>
            <w:pPr>
              <w:jc w:val="right"/>
            </w:pPr>
            <w:r>
              <w:rPr>
                <w:sz w:val="20"/>
              </w:rPr>
              <w:t>$100,000</w:t>
            </w:r>
          </w:p>
        </w:tc>
      </w:tr>
      <w:tr>
        <w:tc>
          <w:tcPr>
            <w:tcW w:type="dxa" w:w="1080"/>
          </w:tcPr>
          <w:p>
            <w:r>
              <w:rPr>
                <w:sz w:val="20"/>
              </w:rPr>
              <w:t>In-Kind</w:t>
            </w:r>
          </w:p>
        </w:tc>
        <w:tc>
          <w:tcPr>
            <w:tcW w:type="dxa" w:w="4680"/>
          </w:tcPr>
          <w:p>
            <w:r>
              <w:rPr>
                <w:sz w:val="20"/>
              </w:rPr>
              <w:t>Private Foundation</w:t>
            </w:r>
          </w:p>
        </w:tc>
        <w:tc>
          <w:tcPr>
            <w:tcW w:type="dxa" w:w="6120"/>
          </w:tcPr>
          <w:p>
            <w:r>
              <w:rPr>
                <w:sz w:val="20"/>
              </w:rPr>
              <w:t>Metro Internship funding</w:t>
            </w:r>
          </w:p>
        </w:tc>
        <w:tc>
          <w:tcPr>
            <w:tcW w:type="dxa" w:w="1080"/>
          </w:tcPr>
          <w:p>
            <w:r>
              <w:rPr>
                <w:sz w:val="20"/>
              </w:rPr>
              <w:t>Pending</w:t>
            </w:r>
          </w:p>
        </w:tc>
        <w:tc>
          <w:tcPr>
            <w:tcW w:type="dxa" w:w="1440"/>
          </w:tcPr>
          <w:p>
            <w:pPr>
              <w:jc w:val="right"/>
            </w:pPr>
            <w:r>
              <w:rPr>
                <w:sz w:val="20"/>
              </w:rPr>
              <w:t>$5,400</w:t>
            </w:r>
          </w:p>
        </w:tc>
      </w:tr>
      <w:tr>
        <w:tc>
          <w:tcPr>
            <w:tcW w:type="dxa" w:w="1080"/>
          </w:tcPr>
          <w:p>
            <w:r>
              <w:rPr>
                <w:sz w:val="20"/>
              </w:rPr>
              <w:t>Cash</w:t>
            </w:r>
          </w:p>
        </w:tc>
        <w:tc>
          <w:tcPr>
            <w:tcW w:type="dxa" w:w="4680"/>
          </w:tcPr>
          <w:p>
            <w:r>
              <w:rPr>
                <w:sz w:val="20"/>
              </w:rPr>
              <w:t>Private Foundation</w:t>
            </w:r>
          </w:p>
        </w:tc>
        <w:tc>
          <w:tcPr>
            <w:tcW w:type="dxa" w:w="6120"/>
          </w:tcPr>
          <w:p>
            <w:r>
              <w:rPr>
                <w:sz w:val="20"/>
              </w:rPr>
              <w:t>Funds supporting youth education</w:t>
            </w:r>
          </w:p>
        </w:tc>
        <w:tc>
          <w:tcPr>
            <w:tcW w:type="dxa" w:w="1080"/>
          </w:tcPr>
          <w:p>
            <w:r>
              <w:rPr>
                <w:sz w:val="20"/>
              </w:rPr>
              <w:t>Pending</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$125,400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$135,400</w:t>
            </w:r>
          </w:p>
        </w:tc>
      </w:tr>
    </w:tbl>
    <w:p/>
    <w:p>
      <w:r>
        <w:rPr>
          <w:b/>
        </w:rPr>
        <w:t>Total Project Cost: $384,400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Frontenac State Park</w:t>
            </w:r>
          </w:p>
        </w:tc>
        <w:tc>
          <w:tcPr>
            <w:tcW w:type="dxa" w:w="1440"/>
          </w:tcPr>
          <w:p>
            <w:r>
              <w:rPr>
                <w:sz w:val="20"/>
              </w:rPr>
              <w:t>Goodhue</w:t>
            </w:r>
          </w:p>
        </w:tc>
        <w:tc>
          <w:tcPr>
            <w:tcW w:type="dxa" w:w="3888"/>
          </w:tcPr>
          <w:p>
            <w:r>
              <w:rPr>
                <w:sz w:val="20"/>
              </w:rPr>
              <w:t>Prairie and oak bluff restoration to support biodiversity</w:t>
            </w:r>
          </w:p>
        </w:tc>
        <w:tc>
          <w:tcPr>
            <w:tcW w:type="dxa" w:w="1080"/>
          </w:tcPr>
          <w:p>
            <w:r>
              <w:rPr>
                <w:sz w:val="20"/>
              </w:rPr>
              <w:t>Restoration</w:t>
            </w:r>
          </w:p>
        </w:tc>
        <w:tc>
          <w:tcPr>
            <w:tcW w:type="dxa" w:w="432"/>
          </w:tcPr>
          <w:p>
            <w:pPr>
              <w:jc w:val="right"/>
            </w:pPr>
            <w:r>
              <w:rPr>
                <w:sz w:val="20"/>
              </w:rPr>
              <w:t>80</w:t>
            </w:r>
          </w:p>
        </w:tc>
        <w:tc>
          <w:tcPr>
            <w:tcW w:type="dxa" w:w="432"/>
          </w:tcPr>
          <w:p>
            <w:pPr>
              <w:jc w:val="right"/>
            </w:pPr>
            <w:r>
              <w:rPr>
                <w:sz w:val="20"/>
              </w:rPr>
              <w:t>3</w:t>
            </w:r>
          </w:p>
        </w:tc>
        <w:tc>
          <w:tcPr>
            <w:tcW w:type="dxa" w:w="1080"/>
          </w:tcPr>
          <w:p>
            <w:pPr>
              <w:jc w:val="right"/>
            </w:pPr>
            <w:r>
              <w:rPr>
                <w:sz w:val="20"/>
              </w:rPr>
              <w:t>$5,000</w:t>
            </w:r>
          </w:p>
        </w:tc>
        <w:tc>
          <w:tcPr>
            <w:tcW w:type="dxa" w:w="1080"/>
          </w:tcPr>
          <w:p>
            <w:r>
              <w:rPr>
                <w:sz w:val="20"/>
              </w:rPr>
              <w:t>Public</w:t>
            </w:r>
          </w:p>
        </w:tc>
        <w:tc>
          <w:tcPr>
            <w:tcW w:type="dxa" w:w="1728"/>
          </w:tcPr>
          <w:p>
            <w:r>
              <w:rPr>
                <w:sz w:val="20"/>
              </w:rPr>
              <w:t>MN DNR</w:t>
            </w:r>
          </w:p>
        </w:tc>
        <w:tc>
          <w:tcPr>
            <w:tcW w:type="dxa" w:w="1080"/>
          </w:tcPr>
          <w:p>
            <w:r>
              <w:rPr>
                <w:sz w:val="20"/>
              </w:rPr>
              <w:t>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80</w:t>
            </w:r>
          </w:p>
        </w:tc>
        <w:tc>
          <w:tcPr>
            <w:tcW w:type="dxa" w:w="432"/>
            <w:shd w:fill="#eeeeee"/>
          </w:tcPr>
          <w:p>
            <w:pPr>
              <w:jc w:val="right"/>
            </w:pPr>
            <w:r>
              <w:rPr>
                <w:b/>
                <w:color w:val="000000"/>
                <w:sz w:val="20"/>
              </w:rPr>
              <w:t>3</w:t>
            </w:r>
          </w:p>
        </w:tc>
        <w:tc>
          <w:tcPr>
            <w:tcW w:type="dxa" w:w="1080"/>
            <w:shd w:fill="#eeeeee"/>
          </w:tcPr>
          <w:p>
            <w:pPr>
              <w:jc w:val="right"/>
            </w:pPr>
            <w:r>
              <w:rPr>
                <w:b/>
                <w:color w:val="000000"/>
                <w:sz w:val="20"/>
              </w:rPr>
              <w:t>$5,000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as a result of our environmental education work in Activity 1 of this program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initiatives developed in Activity 1 will occur within and support the wider restoration and management plans held at their respective sites (example: initiatives at State Parks will support the MN DNR's ongoing management)</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Great River Green will follow BSWR's Native Vegetation Establishment and Enhancement Guidelines while working in concert with the wider, existing management plans of the respective partner sites.</w:t>
      </w:r>
    </w:p>
    <w:p>
      <w:r>
        <w:rPr>
          <w:b/>
        </w:rPr>
        <w:t xml:space="preserve">4. Describe how the long-term maintenance and management needs of the parcel being restored with these funds will be met and financed into the future. </w:t>
        <w:br/>
      </w:r>
      <w:r>
        <w:t>Long-term maintenance and management of the parcels receiving restoration activity support from this grant program will continue to be maintained and managed by the respective site leaders/plans. If such a plan does not exist on the parcel, then one will be developed alongside the project development and parcel selection.</w:t>
      </w:r>
    </w:p>
    <w:p>
      <w:r>
        <w:rPr>
          <w:b/>
        </w:rPr>
        <w:t xml:space="preserve">5. Describe how consideration will be given to contracting with Conservation Corps of Minnesota for any restoration activities. </w:t>
        <w:br/>
      </w:r>
      <w:r>
        <w:t>Consideration will be given to contracting with CCM if additional crew support is needed for any of the community-centered restoration work of our Activity 1, though, in general, this will not be necessary as the projects will center on work that is accessible to and engaging Minnesota's public.</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Restoration work occurring as a result of this educational grant will be designed to fit within the wider restoration and management plan of the respective sites/parcels, which will be evaluated and maintained by the respective site leaders.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228c059a-da4.pdf</w:t>
          </w:r>
        </w:hyperlink>
      </w:r>
    </w:p>
    <w:p>
      <w:pPr>
        <w:pStyle w:val="Heading4"/>
        <w:spacing w:before="40" w:after="20"/>
      </w:pPr>
      <w:r>
        <w:rPr>
          <w:b/>
          <w:i/>
          <w:color w:val="000000"/>
          <w:sz w:val="24"/>
        </w:rPr>
        <w:t>Alternate Text for Map</w:t>
      </w:r>
    </w:p>
    <w:p>
      <w:r>
        <w:t>Summary flyer with inspiring images of Minnesotans engaging in conservation work...</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990 Form Great River Greening</w:t>
            </w:r>
          </w:p>
        </w:tc>
        <w:tc>
          <w:tcPr>
            <w:tcW w:type="dxa" w:w="5400"/>
          </w:tcPr>
          <w:p>
            <w:r>
              <w:rPr>
                <w:sz w:val="20"/>
              </w:rPr>
            </w:r>
            <w:r>
              <w:rPr>
                <w:color w:val="000000" w:themeColor="hyperlink"/>
                <w:sz w:val="20"/>
                <w:u w:val="single"/>
              </w:rPr>
              <w:hyperlink r:id="rId13">
                <w:r>
                  <w:rPr/>
                  <w:t>64b8f63f-5b2.pdf</w:t>
                </w:r>
              </w:hyperlink>
            </w:r>
          </w:p>
        </w:tc>
      </w:tr>
      <w:tr>
        <w:tc>
          <w:tcPr>
            <w:tcW w:type="dxa" w:w="5400"/>
          </w:tcPr>
          <w:p>
            <w:r>
              <w:rPr>
                <w:sz w:val="20"/>
              </w:rPr>
              <w:t>Great River Greening 990</w:t>
            </w:r>
          </w:p>
        </w:tc>
        <w:tc>
          <w:tcPr>
            <w:tcW w:type="dxa" w:w="5400"/>
          </w:tcPr>
          <w:p>
            <w:r>
              <w:rPr>
                <w:sz w:val="20"/>
              </w:rPr>
            </w:r>
            <w:r>
              <w:rPr>
                <w:color w:val="000000" w:themeColor="hyperlink"/>
                <w:sz w:val="20"/>
                <w:u w:val="single"/>
              </w:rPr>
              <w:hyperlink r:id="rId14">
                <w:r>
                  <w:rPr/>
                  <w:t>527ef9d2-65b.pdf</w:t>
                </w:r>
              </w:hyperlink>
            </w:r>
          </w:p>
        </w:tc>
      </w:tr>
      <w:tr>
        <w:tc>
          <w:tcPr>
            <w:tcW w:type="dxa" w:w="5400"/>
          </w:tcPr>
          <w:p>
            <w:r>
              <w:rPr>
                <w:sz w:val="20"/>
              </w:rPr>
              <w:t>Great River Greening Audit</w:t>
            </w:r>
          </w:p>
        </w:tc>
        <w:tc>
          <w:tcPr>
            <w:tcW w:type="dxa" w:w="5400"/>
          </w:tcPr>
          <w:p>
            <w:r>
              <w:rPr>
                <w:sz w:val="20"/>
              </w:rPr>
            </w:r>
            <w:r>
              <w:rPr>
                <w:color w:val="000000" w:themeColor="hyperlink"/>
                <w:sz w:val="20"/>
                <w:u w:val="single"/>
              </w:rPr>
              <w:hyperlink r:id="rId15">
                <w:r>
                  <w:rPr/>
                  <w:t>19cdcd42-5c5.pdf</w:t>
                </w:r>
              </w:hyperlink>
            </w:r>
          </w:p>
        </w:tc>
      </w:tr>
      <w:tr>
        <w:tc>
          <w:tcPr>
            <w:tcW w:type="dxa" w:w="5400"/>
          </w:tcPr>
          <w:p>
            <w:r>
              <w:rPr>
                <w:sz w:val="20"/>
              </w:rPr>
              <w:t>Sec of State-In good standing</w:t>
            </w:r>
          </w:p>
        </w:tc>
        <w:tc>
          <w:tcPr>
            <w:tcW w:type="dxa" w:w="5400"/>
          </w:tcPr>
          <w:p>
            <w:r>
              <w:rPr>
                <w:sz w:val="20"/>
              </w:rPr>
            </w:r>
            <w:r>
              <w:rPr>
                <w:color w:val="000000" w:themeColor="hyperlink"/>
                <w:sz w:val="20"/>
                <w:u w:val="single"/>
              </w:rPr>
              <w:hyperlink r:id="rId16">
                <w:r>
                  <w:rPr/>
                  <w:t>d5830b34-6b8.pdf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Approval Letter</w:t>
            </w:r>
          </w:p>
        </w:tc>
        <w:tc>
          <w:tcPr>
            <w:tcW w:type="dxa" w:w="5400"/>
          </w:tcPr>
          <w:p>
            <w:r>
              <w:rPr>
                <w:sz w:val="20"/>
              </w:rPr>
            </w:r>
            <w:r>
              <w:rPr>
                <w:color w:val="000000" w:themeColor="hyperlink"/>
                <w:sz w:val="20"/>
                <w:u w:val="single"/>
              </w:rPr>
              <w:hyperlink r:id="rId17">
                <w:r>
                  <w:rPr/>
                  <w:t>3f4563ce-928.pdf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DIW</w:t>
            </w:r>
          </w:p>
        </w:tc>
        <w:tc>
          <w:tcPr>
            <w:tcW w:type="dxa" w:w="5400"/>
          </w:tcPr>
          <w:p>
            <w:r>
              <w:rPr>
                <w:sz w:val="20"/>
              </w:rPr>
            </w:r>
            <w:r>
              <w:rPr>
                <w:color w:val="000000" w:themeColor="hyperlink"/>
                <w:sz w:val="20"/>
                <w:u w:val="single"/>
              </w:rPr>
              <w:hyperlink r:id="rId18">
                <w:r>
                  <w:rPr/>
                  <w:t>ecb385b4-f29.pdf</w:t>
                </w:r>
              </w:hyperlink>
            </w:r>
          </w:p>
        </w:tc>
      </w:tr>
      <w:tr>
        <w:tc>
          <w:tcPr>
            <w:tcW w:type="dxa" w:w="5400"/>
          </w:tcPr>
          <w:p>
            <w:r>
              <w:rPr>
                <w:sz w:val="20"/>
              </w:rPr>
              <w:t>Letter of Support - Frogtown Green</w:t>
            </w:r>
          </w:p>
        </w:tc>
        <w:tc>
          <w:tcPr>
            <w:tcW w:type="dxa" w:w="5400"/>
          </w:tcPr>
          <w:p>
            <w:r>
              <w:rPr>
                <w:sz w:val="20"/>
              </w:rPr>
            </w:r>
            <w:r>
              <w:rPr>
                <w:color w:val="000000" w:themeColor="hyperlink"/>
                <w:sz w:val="20"/>
                <w:u w:val="single"/>
              </w:rPr>
              <w:hyperlink r:id="rId19">
                <w:r>
                  <w:rPr/>
                  <w:t>54e74ff2-738.pdf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3f1b332c-739.pdf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Program workplace has been corrected to indicate that "Yes" this program will occasionally provide educational programming with children/minors and that "Yes" all employees, contractors, and volunteers involved will complete and pass a background check prior to educational engagement with any children/minors. </w:t>
        <w:br/>
        <w:br/>
        <w:t>Dissemination plan information added.</w:t>
        <w:br/>
        <w:br/>
        <w:t>Reporting schedule change request submitted (shifting to Jan 1/July 1)</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Melissa Greenwood, Grants Administrator for Great River Greening</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28c059a-da4.pdf" TargetMode="External"/><Relationship Id="rId13" Type="http://schemas.openxmlformats.org/officeDocument/2006/relationships/hyperlink" Target="https://lccmrprojectmgmt.leg.mn/media/attachments/64b8f63f-5b2.pdf" TargetMode="External"/><Relationship Id="rId14" Type="http://schemas.openxmlformats.org/officeDocument/2006/relationships/hyperlink" Target="https://lccmrprojectmgmt.leg.mn/media/attachments/527ef9d2-65b.pdf" TargetMode="External"/><Relationship Id="rId15" Type="http://schemas.openxmlformats.org/officeDocument/2006/relationships/hyperlink" Target="https://lccmrprojectmgmt.leg.mn/media/attachments/19cdcd42-5c5.pdf" TargetMode="External"/><Relationship Id="rId16" Type="http://schemas.openxmlformats.org/officeDocument/2006/relationships/hyperlink" Target="https://lccmrprojectmgmt.leg.mn/media/attachments/d5830b34-6b8.pdf" TargetMode="External"/><Relationship Id="rId17" Type="http://schemas.openxmlformats.org/officeDocument/2006/relationships/hyperlink" Target="https://lccmrprojectmgmt.leg.mn/media/attachments/3f4563ce-928.pdf" TargetMode="External"/><Relationship Id="rId18" Type="http://schemas.openxmlformats.org/officeDocument/2006/relationships/hyperlink" Target="https://lccmrprojectmgmt.leg.mn/media/attachments/ecb385b4-f29.pdf" TargetMode="External"/><Relationship Id="rId19" Type="http://schemas.openxmlformats.org/officeDocument/2006/relationships/hyperlink" Target="https://lccmrprojectmgmt.leg.mn/media/attachments/54e74ff2-738.pdf" TargetMode="External"/><Relationship Id="rId20" Type="http://schemas.openxmlformats.org/officeDocument/2006/relationships/hyperlink" Target="https://lccmrprojectmgmt.leg.mn/media/attachments/3f1b332c-7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Engaging our Diverse Public in Environmental Stewardship - Phase 2</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