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2025-049</w:t>
      </w:r>
    </w:p>
    <w:p>
      <w:r>
        <w:rPr>
          <w:b/>
        </w:rPr>
        <w:t xml:space="preserve">Staff Lead: </w:t>
      </w:r>
      <w:r>
        <w:t>Noah Fribley</w:t>
      </w:r>
    </w:p>
    <w:p>
      <w:r>
        <w:rPr>
          <w:b/>
        </w:rPr>
        <w:t xml:space="preserve">Date this document submitted to LCCMR: </w:t>
      </w:r>
      <w:r>
        <w:t>June 9, 2025</w:t>
      </w:r>
    </w:p>
    <w:p>
      <w:r>
        <w:rPr>
          <w:b/>
        </w:rPr>
        <w:t xml:space="preserve">Project Title: </w:t>
      </w:r>
      <w:r>
        <w:t>Protecting Coldwater Fish Habitat in Minnesota Lakes</w:t>
      </w:r>
    </w:p>
    <w:p>
      <w:r>
        <w:rPr>
          <w:b/>
        </w:rPr>
        <w:t xml:space="preserve">Project Budget: </w:t>
      </w:r>
      <w:r>
        <w:t>$561,000</w:t>
      </w:r>
    </w:p>
    <w:p/>
    <w:p>
      <w:pPr>
        <w:pStyle w:val="Heading2"/>
        <w:spacing w:before="0" w:after="80"/>
      </w:pPr>
      <w:r>
        <w:rPr>
          <w:b/>
          <w:color w:val="2C559C"/>
          <w:sz w:val="28"/>
        </w:rPr>
        <w:t>Project Manager Information</w:t>
      </w:r>
    </w:p>
    <w:p>
      <w:r>
        <w:rPr>
          <w:b/>
        </w:rPr>
        <w:t xml:space="preserve">Name: </w:t>
      </w:r>
      <w:r>
        <w:t>Gretchen Hansen</w:t>
      </w:r>
    </w:p>
    <w:p>
      <w:r>
        <w:rPr>
          <w:b/>
        </w:rPr>
        <w:t xml:space="preserve">Organization: </w:t>
      </w:r>
      <w:r>
        <w:t>U of MN - College of Food, Agricultural and Natural Resource Sciences</w:t>
      </w:r>
    </w:p>
    <w:p>
      <w:r>
        <w:rPr>
          <w:b/>
        </w:rPr>
        <w:t xml:space="preserve">Office Telephone: </w:t>
      </w:r>
      <w:r>
        <w:t>(612) 624-4228</w:t>
      </w:r>
    </w:p>
    <w:p>
      <w:r>
        <w:rPr>
          <w:b/>
        </w:rPr>
        <w:t xml:space="preserve">Email: </w:t>
      </w:r>
      <w:r>
        <w:t>ghansen@umn.edu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07a</w:t>
      </w:r>
    </w:p>
    <w:p>
      <w:r>
        <w:rPr>
          <w:b/>
        </w:rPr>
        <w:t xml:space="preserve">Appropriation Language: </w:t>
      </w:r>
      <w:r>
        <w:t xml:space="preserve">$561,000 the first year is from the trust fund to the Board of Regents of the University of Minnesota to identify lake-specific watershed protection targets and management practices needed to maintain coldwater fish habitat threatened by warming temperatures and increasing extreme rain events and to integrate this information into conservation planning tools.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Identify lake-specific watershed protection targets and management practices needed to maintain coldwater fish habitat given warming temperatures and increasing extreme rain events, and integrate this information into conservation planning tools.</w:t>
      </w:r>
    </w:p>
    <w:p>
      <w:pPr>
        <w:spacing w:after="60"/>
      </w:pPr>
      <w:r>
        <w:rPr>
          <w:b/>
        </w:rPr>
        <w:t>Describe the opportunity or problem your proposal seeks to address. Include any relevant background information.</w:t>
      </w:r>
    </w:p>
    <w:p>
      <w:r>
        <w:t>Coldwater fish habitat in Minnesota lakes is threatened by climate change and nutrient pollution. Bottom waters of lakes can support coldwater fish even when surface temperatures are too warm, but only if deep waters maintain sufficient oxygen. Extreme rain events can flush nutrients into lakes and deplete oxygen, threatening fish habitat and causing fish kills. Protecting forested watersheds can reduce nutrient loads and maintain coldwater fish habitat even as lakes warm and extreme rain events increase in frequency. State agencies and non-profit organizations are actively engaged in watershed management to protect coldwater fish habitat. However, current conservation targets are not lake specific, do not account for the impacts of extreme rain events, and cannot identify the effectiveness of specific types of watershed management practices in terms of their impact on coldwater fish habitat. Indeed, some lakes have experienced fish kills following extreme rain events in spite of high levels of watershed protection, pointing to an urgent need to update existing targets to account for extreme rain events, to develop more specific guidance that accounts for variability among lakes, and to specify on-the-ground management practices that increase the resilience of coldwater fish habitat to climate warming and extreme rain events.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quantify the effectiveness of diverse watershed management practices in maintaining coldwater fish habitat in lakes as the climate warms and extreme rain events become more common. By partnering with government agencies and conservation groups, this work ensures that conservation planning tools are updated with this best-available science. We will identify lake-specific, on-the-ground protection targets that can increase the resilience of coldwater habitat to warming and extreme rain events. Specifically, we will:</w:t>
        <w:br/>
        <w:t xml:space="preserve">-Estimate lake-specific watershed protection targets for conserving coldwater fish habitat in all lakes in Minnesota that currently contain coldwater species like cisco. These targets will be based on statistical models that account for the impacts of warming temperatures, extreme precipitation events, and detailed watershed characteristics. </w:t>
        <w:br/>
        <w:t>-Conduct a detailed assessment of coldwater fish habitat, coldwater fish populations, and watershed characteristics and land use practices on lakes that are either surprisingly resilient or surprisingly sensitive to quantify how extreme storm events influence coldwater fish habitat and populations and to identify specific practices that increase resilience.</w:t>
        <w:br/>
        <w:t>-Collaborate with state and non-profit groups currently engaged in watershed protection to tailor our approach and integrate results into existing planning tools to directly support effective conservation and efficient use of public resources.</w:t>
      </w:r>
    </w:p>
    <w:p>
      <w:pPr>
        <w:spacing w:after="60"/>
      </w:pPr>
      <w:r>
        <w:rPr>
          <w:b/>
        </w:rPr>
        <w:t xml:space="preserve">What are the specific project outcomes as they relate to the public purpose of protection, conservation, preservation, and enhancement of the state’s natural resources? </w:t>
      </w:r>
    </w:p>
    <w:p>
      <w:r>
        <w:t>1. Up-to-date watershed protection model that generates lake-specific watershed protection targets for coldwater fish habitat. 2. Identification of specific, on-the-ground management actions that mediate coldwater fish habitat responses to warming and extreme rain events. 3. Detailed understanding of how watershed characteristics, dissolved oxygen dynamics, and coldwater fish populations are connected in case study lakes where habitat is either surprisingly resilient or surprisingly sensitive. 4. Integration of results into existing planning tools to prioritize conservation easements, land purchases, and restoration of watersheds to protect coldwater fish habitat. 5. Public webinars and information tools communicating best practices for protecting coldwater fish habitat.</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Identify lake-specific watershed protection targets and best practices for maintaining coldwater habitat in a changing environment</w:t>
      </w:r>
    </w:p>
    <w:p>
      <w:r>
        <w:rPr>
          <w:b/>
        </w:rPr>
        <w:t xml:space="preserve">Activity Budget: </w:t>
      </w:r>
      <w:r>
        <w:t>$217,594</w:t>
      </w:r>
    </w:p>
    <w:p>
      <w:r>
        <w:rPr>
          <w:b/>
        </w:rPr>
        <w:t xml:space="preserve">Activity Description: </w:t>
        <w:br/>
      </w:r>
      <w:r>
        <w:t>We will build up-to-date statistical models linking vulnerability of coldwater fish habitat to warming and precipitation with detailed watershed characteristics. We will predict lake-specific coldwater fish habitat responses to scenarios of warming and increased precipitation in order to identify watershed protection strategies most likely to protect coldwater fish habitat under a range of future conditions. We will improve on models used to identify existing targets in a number of ways. First, we will collate up-to-date temperature and oxygen data collected by federal, state, and local agencies to estimate fish oxythermal habitat at a high spatial and temporal resolution. Next we will use aerial imagery, land use information, and geoprocessing tools to delineate detailed lake and watershed specific factors hypothesized to influence resilience to climate change including watershed soil type, the configuration of forests and wetlands in the watershed, and shoreline development. The inclusion of these factors is based on partner input and will increase the accuracy of and the trust in model predictions. Finally, we will include updated high-resolution downscaled climate data including temperature, precipitation, and winter severity to both quantify current relationships and predict lake responses to future climate scenarios.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Assemble detailed lake specific climate, watershed, coldwater fish, and water quality data</w:t>
            </w:r>
          </w:p>
        </w:tc>
        <w:tc>
          <w:tcPr>
            <w:tcW w:type="dxa" w:w="2160"/>
          </w:tcPr>
          <w:p>
            <w:pPr>
              <w:jc w:val="right"/>
            </w:pPr>
            <w:r>
              <w:rPr>
                <w:sz w:val="20"/>
              </w:rPr>
              <w:t>June 30, 2026</w:t>
            </w:r>
          </w:p>
        </w:tc>
      </w:tr>
      <w:tr>
        <w:tc>
          <w:tcPr>
            <w:tcW w:type="dxa" w:w="8640"/>
          </w:tcPr>
          <w:p>
            <w:r>
              <w:rPr>
                <w:sz w:val="20"/>
              </w:rPr>
              <w:t>Estimate historic coldwater fish habitat availability from temperature and dissolved oxygen profile data</w:t>
            </w:r>
          </w:p>
        </w:tc>
        <w:tc>
          <w:tcPr>
            <w:tcW w:type="dxa" w:w="2160"/>
          </w:tcPr>
          <w:p>
            <w:pPr>
              <w:jc w:val="right"/>
            </w:pPr>
            <w:r>
              <w:rPr>
                <w:sz w:val="20"/>
              </w:rPr>
              <w:t>June 30, 2026</w:t>
            </w:r>
          </w:p>
        </w:tc>
      </w:tr>
      <w:tr>
        <w:tc>
          <w:tcPr>
            <w:tcW w:type="dxa" w:w="8640"/>
          </w:tcPr>
          <w:p>
            <w:r>
              <w:rPr>
                <w:sz w:val="20"/>
              </w:rPr>
              <w:t>Create statistical models relating watershed, climate, coldwater fish habitat under current and future climate conditions</w:t>
            </w:r>
          </w:p>
        </w:tc>
        <w:tc>
          <w:tcPr>
            <w:tcW w:type="dxa" w:w="2160"/>
          </w:tcPr>
          <w:p>
            <w:pPr>
              <w:jc w:val="right"/>
            </w:pPr>
            <w:r>
              <w:rPr>
                <w:sz w:val="20"/>
              </w:rPr>
              <w:t>June 30, 2027</w:t>
            </w:r>
          </w:p>
        </w:tc>
      </w:tr>
      <w:tr>
        <w:tc>
          <w:tcPr>
            <w:tcW w:type="dxa" w:w="8640"/>
          </w:tcPr>
          <w:p>
            <w:r>
              <w:rPr>
                <w:sz w:val="20"/>
              </w:rPr>
              <w:t>Identify lake-specific protection targets for all lakes with coldwater fish in Minnesota</w:t>
            </w:r>
          </w:p>
        </w:tc>
        <w:tc>
          <w:tcPr>
            <w:tcW w:type="dxa" w:w="2160"/>
          </w:tcPr>
          <w:p>
            <w:pPr>
              <w:jc w:val="right"/>
            </w:pPr>
            <w:r>
              <w:rPr>
                <w:sz w:val="20"/>
              </w:rPr>
              <w:t>December 31, 2027</w:t>
            </w:r>
          </w:p>
        </w:tc>
      </w:tr>
    </w:tbl>
    <w:p/>
    <w:p>
      <w:pPr>
        <w:pStyle w:val="Heading3"/>
        <w:spacing w:after="60"/>
      </w:pPr>
      <w:r>
        <w:rPr>
          <w:b/>
          <w:color w:val="254885"/>
          <w:sz w:val="26"/>
        </w:rPr>
        <w:t>Activity 2: Detailed assessment of coldwater fish habitat and population responses to extreme weather events in highly sensitive and highly resilient lakes</w:t>
      </w:r>
    </w:p>
    <w:p>
      <w:r>
        <w:rPr>
          <w:b/>
        </w:rPr>
        <w:t xml:space="preserve">Activity Budget: </w:t>
      </w:r>
      <w:r>
        <w:t>$234,126</w:t>
      </w:r>
    </w:p>
    <w:p>
      <w:r>
        <w:rPr>
          <w:b/>
        </w:rPr>
        <w:t xml:space="preserve">Activity Description: </w:t>
        <w:br/>
      </w:r>
      <w:r>
        <w:t>We will identify case study lakes that are either highly sensitive, meaning oxythermal habitat and/or cisco populations are worse than expected given current watershed conditions; or highly resilient, meaning conditions are better than expected given current watershed conditions. We will install sensors to continuously monitor dissolved oxygen and temperature. Partner agencies (MNDNR, USFWS, NPS) have collected continuous temperature and oxygen data on 10 Minnesota lakes spanning a range of watershed development since 2018. Together, these data represent an unprecedented opportunity to document the effects of extreme precipitation events on coldwater fish habitat in lakes with differing degrees and types of watershed land use. We will generate detailed watershed land cover and geomorphological data from on the ground surveys and aerial photography and will collect water quality for all monitored lakes. We will to quantify how watershed characteristics and land use can dampen or amplify the impacts of high precipitation events on dissolved oxygen and coldwater fish habitat. To document coldwater fish population responses to oxythermal habitat loss, we will partner with MN DNR and NPS on coldwater fish surveys using gillnets and  bioacoustics to evaluate cisco population size, age structure, recruitment, and habitat use under different habitat conditions.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case study lakes and deploy additional oxygen and temperature loggers</w:t>
            </w:r>
          </w:p>
        </w:tc>
        <w:tc>
          <w:tcPr>
            <w:tcW w:type="dxa" w:w="2160"/>
          </w:tcPr>
          <w:p>
            <w:pPr>
              <w:jc w:val="right"/>
            </w:pPr>
            <w:r>
              <w:rPr>
                <w:sz w:val="20"/>
              </w:rPr>
              <w:t>April 30, 2026</w:t>
            </w:r>
          </w:p>
        </w:tc>
      </w:tr>
      <w:tr>
        <w:tc>
          <w:tcPr>
            <w:tcW w:type="dxa" w:w="8640"/>
          </w:tcPr>
          <w:p>
            <w:r>
              <w:rPr>
                <w:sz w:val="20"/>
              </w:rPr>
              <w:t>Delineate and survey watersheds for detailed information on soils, slope, and land use</w:t>
            </w:r>
          </w:p>
        </w:tc>
        <w:tc>
          <w:tcPr>
            <w:tcW w:type="dxa" w:w="2160"/>
          </w:tcPr>
          <w:p>
            <w:pPr>
              <w:jc w:val="right"/>
            </w:pPr>
            <w:r>
              <w:rPr>
                <w:sz w:val="20"/>
              </w:rPr>
              <w:t>June 30, 2027</w:t>
            </w:r>
          </w:p>
        </w:tc>
      </w:tr>
      <w:tr>
        <w:tc>
          <w:tcPr>
            <w:tcW w:type="dxa" w:w="8640"/>
          </w:tcPr>
          <w:p>
            <w:r>
              <w:rPr>
                <w:sz w:val="20"/>
              </w:rPr>
              <w:t>Conduct gillnet and bioacoustic surveys to determine Coldwater fish population structure in case study lakes</w:t>
            </w:r>
          </w:p>
        </w:tc>
        <w:tc>
          <w:tcPr>
            <w:tcW w:type="dxa" w:w="2160"/>
          </w:tcPr>
          <w:p>
            <w:pPr>
              <w:jc w:val="right"/>
            </w:pPr>
            <w:r>
              <w:rPr>
                <w:sz w:val="20"/>
              </w:rPr>
              <w:t>November 30, 2027</w:t>
            </w:r>
          </w:p>
        </w:tc>
      </w:tr>
      <w:tr>
        <w:tc>
          <w:tcPr>
            <w:tcW w:type="dxa" w:w="8640"/>
          </w:tcPr>
          <w:p>
            <w:r>
              <w:rPr>
                <w:sz w:val="20"/>
              </w:rPr>
              <w:t>Water quality assessment of all monitored lakes</w:t>
            </w:r>
          </w:p>
        </w:tc>
        <w:tc>
          <w:tcPr>
            <w:tcW w:type="dxa" w:w="2160"/>
          </w:tcPr>
          <w:p>
            <w:pPr>
              <w:jc w:val="right"/>
            </w:pPr>
            <w:r>
              <w:rPr>
                <w:sz w:val="20"/>
              </w:rPr>
              <w:t>December 31, 2027</w:t>
            </w:r>
          </w:p>
        </w:tc>
      </w:tr>
      <w:tr>
        <w:tc>
          <w:tcPr>
            <w:tcW w:type="dxa" w:w="8640"/>
          </w:tcPr>
          <w:p>
            <w:r>
              <w:rPr>
                <w:sz w:val="20"/>
              </w:rPr>
              <w:t>Identify watershed land use practices that determine coldwater fish habitat suitability</w:t>
            </w:r>
          </w:p>
        </w:tc>
        <w:tc>
          <w:tcPr>
            <w:tcW w:type="dxa" w:w="2160"/>
          </w:tcPr>
          <w:p>
            <w:pPr>
              <w:jc w:val="right"/>
            </w:pPr>
            <w:r>
              <w:rPr>
                <w:sz w:val="20"/>
              </w:rPr>
              <w:t>June 30, 2028</w:t>
            </w:r>
          </w:p>
        </w:tc>
      </w:tr>
    </w:tbl>
    <w:p/>
    <w:p>
      <w:pPr>
        <w:pStyle w:val="Heading3"/>
        <w:spacing w:after="60"/>
      </w:pPr>
      <w:r>
        <w:rPr>
          <w:b/>
          <w:color w:val="254885"/>
          <w:sz w:val="26"/>
        </w:rPr>
        <w:t>Activity 3: Engage with conservation practitioners throughout Minnesota to identify information gaps and integrate results into existing planning frameworks</w:t>
      </w:r>
    </w:p>
    <w:p>
      <w:r>
        <w:rPr>
          <w:b/>
        </w:rPr>
        <w:t xml:space="preserve">Activity Budget: </w:t>
      </w:r>
      <w:r>
        <w:t>$109,280</w:t>
      </w:r>
    </w:p>
    <w:p>
      <w:r>
        <w:rPr>
          <w:b/>
        </w:rPr>
        <w:t xml:space="preserve">Activity Description: </w:t>
        <w:br/>
      </w:r>
      <w:r>
        <w:t>We will facilitate a series of  partner engagement workshops with conservation practitioners working on watershed protection to ensure that our work addresses the practical needs of these partners. We will use structured decision making to identify key uncertainties and information gaps that our project can fill. We will integrate with existing conservation partnerships with which project personnel (The Nature Conservancy) are involved, such as the North Central Conservation Roundtable (NCCR), and with county and state agencies working to implement plans including One Watershed, One Plan and Watershed Restoration and Protection Strategies. We will co-develop a process for integrating results into existing conservation planning tools currently being used to prioritize watershed conservation and protection with private, state, and federal funding, including those already being used by NCCR, TNC, and state agencies. We will develop communication tools (e.g., website, fact sheets, directed communications) to communicate with conservation groups, watershed property owners, and decision makers at multiple scales (lake association to statewide). To disseminate results, we will hold integration workshops with conservation partners; present a public, recorded webinar to communicate results broadly; present at in-state scientific conferences; publish in peer-reviewed journals;  and provide content to media and social media outlets.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Structured workshops with conservation and watershed protection groups</w:t>
            </w:r>
          </w:p>
        </w:tc>
        <w:tc>
          <w:tcPr>
            <w:tcW w:type="dxa" w:w="2160"/>
          </w:tcPr>
          <w:p>
            <w:pPr>
              <w:jc w:val="right"/>
            </w:pPr>
            <w:r>
              <w:rPr>
                <w:sz w:val="20"/>
              </w:rPr>
              <w:t>June 30, 2026</w:t>
            </w:r>
          </w:p>
        </w:tc>
      </w:tr>
      <w:tr>
        <w:tc>
          <w:tcPr>
            <w:tcW w:type="dxa" w:w="8640"/>
          </w:tcPr>
          <w:p>
            <w:r>
              <w:rPr>
                <w:sz w:val="20"/>
              </w:rPr>
              <w:t>Integrate lake specific conservation targets into existing planning tools</w:t>
            </w:r>
          </w:p>
        </w:tc>
        <w:tc>
          <w:tcPr>
            <w:tcW w:type="dxa" w:w="2160"/>
          </w:tcPr>
          <w:p>
            <w:pPr>
              <w:jc w:val="right"/>
            </w:pPr>
            <w:r>
              <w:rPr>
                <w:sz w:val="20"/>
              </w:rPr>
              <w:t>June 30, 2028</w:t>
            </w:r>
          </w:p>
        </w:tc>
      </w:tr>
      <w:tr>
        <w:tc>
          <w:tcPr>
            <w:tcW w:type="dxa" w:w="8640"/>
          </w:tcPr>
          <w:p>
            <w:r>
              <w:rPr>
                <w:sz w:val="20"/>
              </w:rPr>
              <w:t>Fact sheets, website, and maps providing lake- and watershed- specific guidance for protecting coldwater habitat</w:t>
            </w:r>
          </w:p>
        </w:tc>
        <w:tc>
          <w:tcPr>
            <w:tcW w:type="dxa" w:w="2160"/>
          </w:tcPr>
          <w:p>
            <w:pPr>
              <w:jc w:val="right"/>
            </w:pPr>
            <w:r>
              <w:rPr>
                <w:sz w:val="20"/>
              </w:rPr>
              <w:t>June 30, 2028</w:t>
            </w:r>
          </w:p>
        </w:tc>
      </w:tr>
      <w:tr>
        <w:tc>
          <w:tcPr>
            <w:tcW w:type="dxa" w:w="8640"/>
          </w:tcPr>
          <w:p>
            <w:r>
              <w:rPr>
                <w:sz w:val="20"/>
              </w:rPr>
              <w:t>Public webinar describing project results and implementation</w:t>
            </w:r>
          </w:p>
        </w:tc>
        <w:tc>
          <w:tcPr>
            <w:tcW w:type="dxa" w:w="2160"/>
          </w:tcPr>
          <w:p>
            <w:pPr>
              <w:jc w:val="right"/>
            </w:pPr>
            <w:r>
              <w:rPr>
                <w:sz w:val="20"/>
              </w:rPr>
              <w:t>June 30, 2028</w:t>
            </w:r>
          </w:p>
        </w:tc>
      </w:tr>
      <w:tr>
        <w:tc>
          <w:tcPr>
            <w:tcW w:type="dxa" w:w="8640"/>
          </w:tcPr>
          <w:p>
            <w:r>
              <w:rPr>
                <w:sz w:val="20"/>
              </w:rPr>
              <w:t>Peer reviewed scientific publication in open access journal communicating results to a broad audience</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Casey Schoenebeck</w:t>
            </w:r>
          </w:p>
        </w:tc>
        <w:tc>
          <w:tcPr>
            <w:tcW w:type="dxa" w:w="1440"/>
          </w:tcPr>
          <w:p>
            <w:r>
              <w:rPr>
                <w:sz w:val="20"/>
              </w:rPr>
              <w:t>Minnesota Department of Natural Resources</w:t>
            </w:r>
          </w:p>
        </w:tc>
        <w:tc>
          <w:tcPr>
            <w:tcW w:type="dxa" w:w="6840"/>
          </w:tcPr>
          <w:p>
            <w:r>
              <w:rPr>
                <w:sz w:val="20"/>
              </w:rPr>
              <w:t>Expertise in lake ecology, fisheries, and monitoring. Will help assemble existing water quality, temperature, oxygen, and fisheries data, will help conduct targeted coldwater fish surveys and deploy additional sensor arrays, and will help conduct post survey analysis of hydroacoustic and continuous temperature and dissolved oxygen data</w:t>
            </w:r>
          </w:p>
        </w:tc>
        <w:tc>
          <w:tcPr>
            <w:tcW w:type="dxa" w:w="1080"/>
          </w:tcPr>
          <w:p>
            <w:r>
              <w:rPr>
                <w:sz w:val="20"/>
              </w:rPr>
              <w:t>No</w:t>
            </w:r>
          </w:p>
        </w:tc>
      </w:tr>
      <w:tr>
        <w:tc>
          <w:tcPr>
            <w:tcW w:type="dxa" w:w="1440"/>
          </w:tcPr>
          <w:p>
            <w:r>
              <w:rPr>
                <w:sz w:val="20"/>
              </w:rPr>
              <w:t>Beth Holbrook</w:t>
            </w:r>
          </w:p>
        </w:tc>
        <w:tc>
          <w:tcPr>
            <w:tcW w:type="dxa" w:w="1440"/>
          </w:tcPr>
          <w:p>
            <w:r>
              <w:rPr>
                <w:sz w:val="20"/>
              </w:rPr>
              <w:t>Minnesota Department of Natural Resources</w:t>
            </w:r>
          </w:p>
        </w:tc>
        <w:tc>
          <w:tcPr>
            <w:tcW w:type="dxa" w:w="6840"/>
          </w:tcPr>
          <w:p>
            <w:r>
              <w:rPr>
                <w:sz w:val="20"/>
              </w:rPr>
              <w:t>Expertise in coldwater fish habitat and assessment. Will help assemble existing water quality, temperature, oxygen, and fisheries data, will help conduct targeted coldwater fish surveys and deploy additional sensor arrays, and will help conduct post survey analysis of hydroacoustic and continuous temperature and dissolved oxygen data</w:t>
            </w:r>
          </w:p>
        </w:tc>
        <w:tc>
          <w:tcPr>
            <w:tcW w:type="dxa" w:w="1080"/>
          </w:tcPr>
          <w:p>
            <w:r>
              <w:rPr>
                <w:sz w:val="20"/>
              </w:rPr>
              <w:t>No</w:t>
            </w:r>
          </w:p>
        </w:tc>
      </w:tr>
      <w:tr>
        <w:tc>
          <w:tcPr>
            <w:tcW w:type="dxa" w:w="1440"/>
          </w:tcPr>
          <w:p>
            <w:r>
              <w:rPr>
                <w:sz w:val="20"/>
              </w:rPr>
              <w:t>Heather Baird</w:t>
            </w:r>
          </w:p>
        </w:tc>
        <w:tc>
          <w:tcPr>
            <w:tcW w:type="dxa" w:w="1440"/>
          </w:tcPr>
          <w:p>
            <w:r>
              <w:rPr>
                <w:sz w:val="20"/>
              </w:rPr>
              <w:t>Minnesota Department of Natural Resources</w:t>
            </w:r>
          </w:p>
        </w:tc>
        <w:tc>
          <w:tcPr>
            <w:tcW w:type="dxa" w:w="6840"/>
          </w:tcPr>
          <w:p>
            <w:r>
              <w:rPr>
                <w:sz w:val="20"/>
              </w:rPr>
              <w:t>Expertise in watershed planning and land management and coordinator of conservation partners throughout Minnesota. Will help assemble detailed watershed data, help identify watershed features that impact coldwater habitat in response to climate and land use, plus help identify and implement watershed management strategies.</w:t>
            </w:r>
          </w:p>
        </w:tc>
        <w:tc>
          <w:tcPr>
            <w:tcW w:type="dxa" w:w="1080"/>
          </w:tcPr>
          <w:p>
            <w:r>
              <w:rPr>
                <w:sz w:val="20"/>
              </w:rPr>
              <w:t>No</w:t>
            </w:r>
          </w:p>
        </w:tc>
      </w:tr>
      <w:tr>
        <w:tc>
          <w:tcPr>
            <w:tcW w:type="dxa" w:w="1440"/>
          </w:tcPr>
          <w:p>
            <w:r>
              <w:rPr>
                <w:sz w:val="20"/>
              </w:rPr>
              <w:t>Ryan Maki</w:t>
            </w:r>
          </w:p>
        </w:tc>
        <w:tc>
          <w:tcPr>
            <w:tcW w:type="dxa" w:w="1440"/>
          </w:tcPr>
          <w:p>
            <w:r>
              <w:rPr>
                <w:sz w:val="20"/>
              </w:rPr>
              <w:t>National Park Service</w:t>
            </w:r>
          </w:p>
        </w:tc>
        <w:tc>
          <w:tcPr>
            <w:tcW w:type="dxa" w:w="6840"/>
          </w:tcPr>
          <w:p>
            <w:r>
              <w:rPr>
                <w:sz w:val="20"/>
              </w:rPr>
              <w:t>Expertise in fisheries and lake ecology. Will assist with field work within Voyageurs National Park lakes as well as provide data from existing loggers and help with interpretation and communication of results.</w:t>
            </w:r>
          </w:p>
        </w:tc>
        <w:tc>
          <w:tcPr>
            <w:tcW w:type="dxa" w:w="1080"/>
          </w:tcPr>
          <w:p>
            <w:r>
              <w:rPr>
                <w:sz w:val="20"/>
              </w:rPr>
              <w:t>No</w:t>
            </w:r>
          </w:p>
        </w:tc>
      </w:tr>
      <w:tr>
        <w:tc>
          <w:tcPr>
            <w:tcW w:type="dxa" w:w="1440"/>
          </w:tcPr>
          <w:p>
            <w:r>
              <w:rPr>
                <w:sz w:val="20"/>
              </w:rPr>
              <w:t>Kristen Blann</w:t>
            </w:r>
          </w:p>
        </w:tc>
        <w:tc>
          <w:tcPr>
            <w:tcW w:type="dxa" w:w="1440"/>
          </w:tcPr>
          <w:p>
            <w:r>
              <w:rPr>
                <w:sz w:val="20"/>
              </w:rPr>
              <w:t>The Nature Conservancy</w:t>
            </w:r>
          </w:p>
        </w:tc>
        <w:tc>
          <w:tcPr>
            <w:tcW w:type="dxa" w:w="6840"/>
          </w:tcPr>
          <w:p>
            <w:r>
              <w:rPr>
                <w:sz w:val="20"/>
              </w:rPr>
              <w:t>Freshwater Ecologist with expertise in conservation planning and partnerships. Will lead the development of structured partner engagement workshops to provide input on and feedback on information needs, tool design and integration with existing planning efforts, and communication with conservation partners.</w:t>
            </w:r>
          </w:p>
        </w:tc>
        <w:tc>
          <w:tcPr>
            <w:tcW w:type="dxa" w:w="1080"/>
          </w:tcPr>
          <w:p>
            <w:r>
              <w:rPr>
                <w:sz w:val="20"/>
              </w:rPr>
              <w:t>Yes</w:t>
            </w:r>
          </w:p>
        </w:tc>
      </w:tr>
      <w:tr>
        <w:tc>
          <w:tcPr>
            <w:tcW w:type="dxa" w:w="1440"/>
          </w:tcPr>
          <w:p>
            <w:r>
              <w:rPr>
                <w:sz w:val="20"/>
              </w:rPr>
              <w:t>Camille Mosley</w:t>
            </w:r>
          </w:p>
        </w:tc>
        <w:tc>
          <w:tcPr>
            <w:tcW w:type="dxa" w:w="1440"/>
          </w:tcPr>
          <w:p>
            <w:r>
              <w:rPr>
                <w:sz w:val="20"/>
              </w:rPr>
              <w:t>University of Minnesota/National Science Foundation Fellow</w:t>
            </w:r>
          </w:p>
        </w:tc>
        <w:tc>
          <w:tcPr>
            <w:tcW w:type="dxa" w:w="6840"/>
          </w:tcPr>
          <w:p>
            <w:r>
              <w:rPr>
                <w:sz w:val="20"/>
              </w:rPr>
              <w:t>Post doctoral researcher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develop communication tools (e.g., website, fact sheets, directed communications) to communicate with conservation groups, watershed property owners, and decision makers at multiple scales (lake association to statewide). To disseminate results, we will hold integration workshops with conservation partners; present a public, recorded webinar to communicate results broadly; present at in-state scientific conferences; publish in peer-reviewed journals;  and provide content to media and social media outlets. Environment and Natural Resources Trust Fund will be acknowledged through use of the trust fund logo or attribution language on project print and electronic media, publications, signage, and other communications per the ENRTF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Because this project is in partnership between conservation practitioners, we have built into our planned activities the work necessary to integrate results into existing conservation planning tools used to drive watershed protection decisions. In addition to co-development of research products and integration with existing planning tools, we will support implementation through communication via webinars, social media, and the popular press. If additional work is needed, we will apply for funding from a National Science Foundation program that allocates $16 Million annually to support the development and implementation of evidence-based activities to advance conservation (Partnership to Advance Conservation Science and Practice).</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 Gretchen Hansen</w:t>
            </w:r>
          </w:p>
        </w:tc>
        <w:tc>
          <w:tcPr>
            <w:tcW w:type="dxa" w:w="1440"/>
          </w:tcPr>
          <w:p>
            <w:r>
              <w:rPr>
                <w:sz w:val="20"/>
              </w:rPr>
            </w:r>
          </w:p>
        </w:tc>
        <w:tc>
          <w:tcPr>
            <w:tcW w:type="dxa" w:w="5472"/>
          </w:tcPr>
          <w:p>
            <w:r>
              <w:rPr>
                <w:sz w:val="20"/>
              </w:rPr>
              <w:t>Lead all aspects of project, including study design, supervision of staff and students, data collection and analysis, interpretation and communication of results, and engagement with partners.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$51,986</w:t>
            </w:r>
          </w:p>
        </w:tc>
      </w:tr>
      <w:tr>
        <w:tc>
          <w:tcPr>
            <w:tcW w:type="dxa" w:w="864"/>
          </w:tcPr>
          <w:p>
            <w:r>
              <w:rPr>
                <w:sz w:val="20"/>
              </w:rPr>
              <w:t>Post doctoral research associate</w:t>
            </w:r>
          </w:p>
        </w:tc>
        <w:tc>
          <w:tcPr>
            <w:tcW w:type="dxa" w:w="1440"/>
          </w:tcPr>
          <w:p>
            <w:r>
              <w:rPr>
                <w:sz w:val="20"/>
              </w:rPr>
            </w:r>
          </w:p>
        </w:tc>
        <w:tc>
          <w:tcPr>
            <w:tcW w:type="dxa" w:w="5472"/>
          </w:tcPr>
          <w:p>
            <w:r>
              <w:rPr>
                <w:sz w:val="20"/>
              </w:rPr>
              <w:t>To conduct statistical analyses and coordinate with partners on implementation and integration of research</w:t>
            </w:r>
          </w:p>
        </w:tc>
        <w:tc>
          <w:tcPr>
            <w:tcW w:type="dxa" w:w="4032"/>
          </w:tcPr>
          <w:p>
            <w:r>
              <w:rPr>
                <w:sz w:val="20"/>
              </w:rPr>
            </w:r>
          </w:p>
        </w:tc>
        <w:tc>
          <w:tcPr>
            <w:tcW w:type="dxa" w:w="360"/>
          </w:tcPr>
          <w:p>
            <w:r>
              <w:rPr>
                <w:sz w:val="20"/>
              </w:rPr>
            </w:r>
          </w:p>
        </w:tc>
        <w:tc>
          <w:tcPr>
            <w:tcW w:type="dxa" w:w="360"/>
          </w:tcPr>
          <w:p>
            <w:pPr>
              <w:jc w:val="right"/>
            </w:pPr>
            <w:r>
              <w:rPr>
                <w:sz w:val="20"/>
              </w:rPr>
              <w:t>27.1%</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$219,988</w:t>
            </w:r>
          </w:p>
        </w:tc>
      </w:tr>
      <w:tr>
        <w:tc>
          <w:tcPr>
            <w:tcW w:type="dxa" w:w="864"/>
          </w:tcPr>
          <w:p>
            <w:r>
              <w:rPr>
                <w:sz w:val="20"/>
              </w:rPr>
              <w:t>Research Scientist</w:t>
            </w:r>
          </w:p>
        </w:tc>
        <w:tc>
          <w:tcPr>
            <w:tcW w:type="dxa" w:w="1440"/>
          </w:tcPr>
          <w:p>
            <w:r>
              <w:rPr>
                <w:sz w:val="20"/>
              </w:rPr>
            </w:r>
          </w:p>
        </w:tc>
        <w:tc>
          <w:tcPr>
            <w:tcW w:type="dxa" w:w="5472"/>
          </w:tcPr>
          <w:p>
            <w:r>
              <w:rPr>
                <w:sz w:val="20"/>
              </w:rPr>
              <w:t>To coordinate and lead field work with state and non-profit partners, coordinate data acquisition, assist with analysis and communication.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$163,288</w:t>
            </w:r>
          </w:p>
        </w:tc>
      </w:tr>
      <w:tr>
        <w:tc>
          <w:tcPr>
            <w:tcW w:type="dxa" w:w="864"/>
          </w:tcPr>
          <w:p>
            <w:r>
              <w:rPr>
                <w:sz w:val="20"/>
              </w:rPr>
              <w:t>Undergraduate technician</w:t>
            </w:r>
          </w:p>
        </w:tc>
        <w:tc>
          <w:tcPr>
            <w:tcW w:type="dxa" w:w="1440"/>
          </w:tcPr>
          <w:p>
            <w:r>
              <w:rPr>
                <w:sz w:val="20"/>
              </w:rPr>
            </w:r>
          </w:p>
        </w:tc>
        <w:tc>
          <w:tcPr>
            <w:tcW w:type="dxa" w:w="5472"/>
          </w:tcPr>
          <w:p>
            <w:r>
              <w:rPr>
                <w:sz w:val="20"/>
              </w:rPr>
              <w:t>To assist with field work and data entry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0.78</w:t>
            </w:r>
          </w:p>
        </w:tc>
        <w:tc>
          <w:tcPr>
            <w:tcW w:type="dxa" w:w="360"/>
          </w:tcPr>
          <w:p>
            <w:r>
              <w:rPr>
                <w:sz w:val="20"/>
              </w:rPr>
            </w:r>
          </w:p>
        </w:tc>
        <w:tc>
          <w:tcPr>
            <w:tcW w:type="dxa" w:w="1152"/>
          </w:tcPr>
          <w:p>
            <w:pPr>
              <w:jc w:val="right"/>
            </w:pPr>
            <w:r>
              <w:rPr>
                <w:sz w:val="20"/>
              </w:rPr>
              <w:t>$24,750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$460,012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The Nature Conservancy</w:t>
            </w:r>
          </w:p>
        </w:tc>
        <w:tc>
          <w:tcPr>
            <w:tcW w:type="dxa" w:w="1440"/>
          </w:tcPr>
          <w:p>
            <w:r>
              <w:rPr>
                <w:sz w:val="20"/>
              </w:rPr>
              <w:t>Subaward</w:t>
            </w:r>
          </w:p>
        </w:tc>
        <w:tc>
          <w:tcPr>
            <w:tcW w:type="dxa" w:w="5472"/>
          </w:tcPr>
          <w:p>
            <w:r>
              <w:rPr>
                <w:sz w:val="20"/>
              </w:rPr>
              <w:t>The Conservancy will lead the development of structured partner engagement workshops, develop communication materials, host and convene integration workshops for integrating results with existing planning tools. As the convener of multiple collaborative initiatives for watershed conservation in Minnesota, the Conservancy is well-positioned to carry out this work.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$26,630</w:t>
            </w:r>
          </w:p>
        </w:tc>
      </w:tr>
      <w:tr>
        <w:tc>
          <w:tcPr>
            <w:tcW w:type="dxa" w:w="864"/>
          </w:tcPr>
          <w:p>
            <w:r>
              <w:rPr>
                <w:sz w:val="20"/>
              </w:rPr>
              <w:t>University of Minnesota Natural Resources Research Institute Water Quality Testing</w:t>
            </w:r>
          </w:p>
        </w:tc>
        <w:tc>
          <w:tcPr>
            <w:tcW w:type="dxa" w:w="1440"/>
          </w:tcPr>
          <w:p>
            <w:r>
              <w:rPr>
                <w:sz w:val="20"/>
              </w:rPr>
              <w:t>Internal services or fees (uncommon)</w:t>
            </w:r>
          </w:p>
        </w:tc>
        <w:tc>
          <w:tcPr>
            <w:tcW w:type="dxa" w:w="5472"/>
          </w:tcPr>
          <w:p>
            <w:r>
              <w:rPr>
                <w:sz w:val="20"/>
              </w:rPr>
              <w:t>Water chemistry analysis for 8 lakes at 10 sites per lake . Costs calculated based on per sample cost for Dissolved organic carbon ($17.44), Total phosphorus + Total Nitrogen  ($49.80), chlorophyll-A ($32.30), turbidity ($11.70), Total Suspended Solids ($21.90) and filtration ($9.10).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$8,691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$35,321</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Dissolved oxygen and temperature loggers (26 @$900) to deploy for measuring coldwater habitat in priority lakes (6 loggers per lake in 4 lakes, 2 extra loggers in case of failure)</w:t>
            </w:r>
          </w:p>
        </w:tc>
        <w:tc>
          <w:tcPr>
            <w:tcW w:type="dxa" w:w="4032"/>
          </w:tcPr>
          <w:p>
            <w:r>
              <w:rPr>
                <w:sz w:val="20"/>
              </w:rPr>
              <w:t>These loggers will be deployed in high priority lakes that are highly resilient or highly sensitive to measure coldwater habitat and its response to climate and weather events. Four lakes will be outfitted with a string of 6 loggers extending from the surface to the bottom, with two additional loggers purchased for back up.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$23,400</w:t>
            </w:r>
          </w:p>
        </w:tc>
      </w:tr>
      <w:tr>
        <w:tc>
          <w:tcPr>
            <w:tcW w:type="dxa" w:w="864"/>
          </w:tcPr>
          <w:p>
            <w:r>
              <w:rPr>
                <w:sz w:val="20"/>
              </w:rPr>
            </w:r>
          </w:p>
        </w:tc>
        <w:tc>
          <w:tcPr>
            <w:tcW w:type="dxa" w:w="1440"/>
          </w:tcPr>
          <w:p>
            <w:r>
              <w:rPr>
                <w:sz w:val="20"/>
              </w:rPr>
              <w:t>Tools and Supplies</w:t>
            </w:r>
          </w:p>
        </w:tc>
        <w:tc>
          <w:tcPr>
            <w:tcW w:type="dxa" w:w="5472"/>
          </w:tcPr>
          <w:p>
            <w:r>
              <w:rPr>
                <w:sz w:val="20"/>
              </w:rPr>
              <w:t>Field and lab  Supplies(e.g., rope [$400], buoys [$400], clamps and ties [$150], cinder blocks [$50], personal protective equipment [$400], coolers  [$200], sample bottles [$1600], decontamination equipment [$200], gloves [$20], ice [$300], trays and buckets [$400], processing supplies (scalpels, forceps, freezer bags) [$400], replacement batteries for loggers [$40]</w:t>
            </w:r>
          </w:p>
        </w:tc>
        <w:tc>
          <w:tcPr>
            <w:tcW w:type="dxa" w:w="4032"/>
          </w:tcPr>
          <w:p>
            <w:r>
              <w:rPr>
                <w:sz w:val="20"/>
              </w:rPr>
              <w:t>Field and lab supplies for deploying oxygen and temperature loggers, collecting water quality samples, collecting fish samples, processing fish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$4,160</w:t>
            </w:r>
          </w:p>
        </w:tc>
      </w:tr>
      <w:tr>
        <w:tc>
          <w:tcPr>
            <w:tcW w:type="dxa" w:w="864"/>
          </w:tcPr>
          <w:p>
            <w:r>
              <w:rPr>
                <w:sz w:val="20"/>
              </w:rPr>
            </w:r>
          </w:p>
        </w:tc>
        <w:tc>
          <w:tcPr>
            <w:tcW w:type="dxa" w:w="1440"/>
          </w:tcPr>
          <w:p>
            <w:r>
              <w:rPr>
                <w:sz w:val="20"/>
              </w:rPr>
              <w:t>Tools and Supplies</w:t>
            </w:r>
          </w:p>
        </w:tc>
        <w:tc>
          <w:tcPr>
            <w:tcW w:type="dxa" w:w="5472"/>
          </w:tcPr>
          <w:p>
            <w:r>
              <w:rPr>
                <w:sz w:val="20"/>
              </w:rPr>
              <w:t>Boat gasoline</w:t>
            </w:r>
          </w:p>
        </w:tc>
        <w:tc>
          <w:tcPr>
            <w:tcW w:type="dxa" w:w="4032"/>
          </w:tcPr>
          <w:p>
            <w:r>
              <w:rPr>
                <w:sz w:val="20"/>
              </w:rPr>
              <w:t>Gasoline for boat for field work related to deploying loggers, collecting water quality samples, collecting fish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$27,820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Fieldwork to deploy, maintain, and download data from oxygen loggers from case study lakes and to collect fish and water quality data. Costs estimated for 2 ppl* 3 travel weeks for year 1, 5 travel weeks for year 2, and 3 travel weeks for year 3. Total based off weekly costs of 600 miles@$0.67/mi + 4 lodging nights per person @$150/night + 5 days of meals @$59/day per person for 2 people (meal estimate based on state per diem rate; actual costs will be reimbursed)  = $2,192 per travel week</w:t>
            </w:r>
          </w:p>
        </w:tc>
        <w:tc>
          <w:tcPr>
            <w:tcW w:type="dxa" w:w="4032"/>
          </w:tcPr>
          <w:p>
            <w:r>
              <w:rPr>
                <w:sz w:val="20"/>
              </w:rPr>
              <w:t>Fieldwork to visit case study lakes to deploy and maintain loggers, collect water quality data, collect fish data in support of project objectives.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$24,112</w:t>
            </w:r>
          </w:p>
        </w:tc>
      </w:tr>
      <w:tr>
        <w:tc>
          <w:tcPr>
            <w:tcW w:type="dxa" w:w="864"/>
          </w:tcPr>
          <w:p>
            <w:r>
              <w:rPr>
                <w:sz w:val="20"/>
              </w:rPr>
            </w:r>
          </w:p>
        </w:tc>
        <w:tc>
          <w:tcPr>
            <w:tcW w:type="dxa" w:w="1440"/>
          </w:tcPr>
          <w:p>
            <w:r>
              <w:rPr>
                <w:sz w:val="20"/>
              </w:rPr>
              <w:t>Miles/ Meals/ Lodging</w:t>
            </w:r>
          </w:p>
        </w:tc>
        <w:tc>
          <w:tcPr>
            <w:tcW w:type="dxa" w:w="5472"/>
          </w:tcPr>
          <w:p>
            <w:r>
              <w:rPr>
                <w:sz w:val="20"/>
              </w:rPr>
              <w:t>Travel for 2 people to attend 2 outreach and stakeholder meetings in each of three years. Costs estimated per meeting as 400 miles@$0.67/mi + 2 lodging nights@$150/night per person + 3 days of meals @$59/day for 2 people (meal estimate based on University per diem rate; actual costs will be reimbursed)</w:t>
            </w:r>
          </w:p>
        </w:tc>
        <w:tc>
          <w:tcPr>
            <w:tcW w:type="dxa" w:w="4032"/>
          </w:tcPr>
          <w:p>
            <w:r>
              <w:rPr>
                <w:sz w:val="20"/>
              </w:rPr>
              <w:t>Travel for two people to attend two outreach and stakeholder coordination and integration meetings in each of three years to conduct structured decision making and work with conservation partners to co-develop research and integrate project results into conservation planning tools.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$7,332</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for in state meetings and conferences 1 person attending 1 per year in years 2 and 3. Costs estimated as $250 registration fee, 400 miles@$0.67/mi + 2 lodging nights@$150/night + 3 days of meals @$59/day (meal estimate based on University per diem rate; actual costs will be reimbursed)</w:t>
            </w:r>
          </w:p>
        </w:tc>
        <w:tc>
          <w:tcPr>
            <w:tcW w:type="dxa" w:w="4032"/>
          </w:tcPr>
          <w:p>
            <w:r>
              <w:rPr>
                <w:sz w:val="20"/>
              </w:rPr>
              <w:t>Travel for one person to travel to an in state conference (e.g., the Minnesota chapter of the American Fisheries Society or the Water Resources Conference) to present and communicate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$1,990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$33,434</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publication fee for peer reviewed journal article ($3000)</w:t>
            </w:r>
          </w:p>
        </w:tc>
        <w:tc>
          <w:tcPr>
            <w:tcW w:type="dxa" w:w="4032"/>
          </w:tcPr>
          <w:p>
            <w:r>
              <w:rPr>
                <w:sz w:val="20"/>
              </w:rPr>
              <w:t>Publishing research results in open access journal so that the public can read results without being behind a paywall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Boat Maintenance</w:t>
            </w:r>
          </w:p>
        </w:tc>
        <w:tc>
          <w:tcPr>
            <w:tcW w:type="dxa" w:w="4032"/>
          </w:tcPr>
          <w:p>
            <w:r>
              <w:rPr>
                <w:sz w:val="20"/>
              </w:rPr>
              <w:t>Maintenance of lab-owned boat used for field sampling, including winterizing and regular maintenance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$1,213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$1,213</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$561,000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Minnesota Department of Natural Resources Salary and benefits - in kind support</w:t>
            </w:r>
          </w:p>
        </w:tc>
        <w:tc>
          <w:tcPr>
            <w:tcW w:type="dxa" w:w="6120"/>
          </w:tcPr>
          <w:p>
            <w:r>
              <w:rPr>
                <w:sz w:val="20"/>
              </w:rPr>
              <w:t>Minnesota DNR Fisheries Research Scientists Beth Holbrook and Casey Schoenebeck and Forest Fisheries Landscape Coordinator Heather Baird will each provide 140, 115, and 100 hours, respectively, of in-kind support of this project for each of three years, for a value of $47,925</w:t>
            </w:r>
          </w:p>
        </w:tc>
        <w:tc>
          <w:tcPr>
            <w:tcW w:type="dxa" w:w="1080"/>
          </w:tcPr>
          <w:p>
            <w:r>
              <w:rPr>
                <w:sz w:val="20"/>
              </w:rPr>
              <w:t>Secured</w:t>
            </w:r>
          </w:p>
        </w:tc>
        <w:tc>
          <w:tcPr>
            <w:tcW w:type="dxa" w:w="1440"/>
          </w:tcPr>
          <w:p>
            <w:pPr>
              <w:jc w:val="right"/>
            </w:pPr>
            <w:r>
              <w:rPr>
                <w:sz w:val="20"/>
              </w:rPr>
              <w:t>$47,925</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$47,925</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National Park Service Aquatic Ecologist Ryan Maki and Technician salary and benefits</w:t>
            </w:r>
          </w:p>
        </w:tc>
        <w:tc>
          <w:tcPr>
            <w:tcW w:type="dxa" w:w="6120"/>
          </w:tcPr>
          <w:p>
            <w:r>
              <w:rPr>
                <w:sz w:val="20"/>
              </w:rPr>
              <w:t>In-kind support (salary of an Aquatic Ecologist and a Biological Science Technician equivalent to $15,771) to achieve project objectives.</w:t>
            </w:r>
          </w:p>
        </w:tc>
        <w:tc>
          <w:tcPr>
            <w:tcW w:type="dxa" w:w="1080"/>
          </w:tcPr>
          <w:p>
            <w:r>
              <w:rPr>
                <w:sz w:val="20"/>
              </w:rPr>
              <w:t>Secured</w:t>
            </w:r>
          </w:p>
        </w:tc>
        <w:tc>
          <w:tcPr>
            <w:tcW w:type="dxa" w:w="1440"/>
          </w:tcPr>
          <w:p>
            <w:pPr>
              <w:jc w:val="right"/>
            </w:pPr>
            <w:r>
              <w:rPr>
                <w:sz w:val="20"/>
              </w:rPr>
              <w:t>$15,771</w:t>
            </w:r>
          </w:p>
        </w:tc>
      </w:tr>
      <w:tr>
        <w:tc>
          <w:tcPr>
            <w:tcW w:type="dxa" w:w="1080"/>
          </w:tcPr>
          <w:p>
            <w:r>
              <w:rPr>
                <w:sz w:val="20"/>
              </w:rPr>
              <w:t>In-Kind</w:t>
            </w:r>
          </w:p>
        </w:tc>
        <w:tc>
          <w:tcPr>
            <w:tcW w:type="dxa" w:w="4680"/>
          </w:tcPr>
          <w:p>
            <w:r>
              <w:rPr>
                <w:sz w:val="20"/>
              </w:rPr>
              <w:t>University of Minnesota foregone indirect costs</w:t>
            </w:r>
          </w:p>
        </w:tc>
        <w:tc>
          <w:tcPr>
            <w:tcW w:type="dxa" w:w="6120"/>
          </w:tcPr>
          <w:p>
            <w:r>
              <w:rPr>
                <w:sz w:val="20"/>
              </w:rPr>
              <w:t>Administrative costs associated with support of research activities including payroll and human resources, finance, facilities, and IT.</w:t>
            </w:r>
          </w:p>
        </w:tc>
        <w:tc>
          <w:tcPr>
            <w:tcW w:type="dxa" w:w="1080"/>
          </w:tcPr>
          <w:p>
            <w:r>
              <w:rPr>
                <w:sz w:val="20"/>
              </w:rPr>
              <w:t>Secured</w:t>
            </w:r>
          </w:p>
        </w:tc>
        <w:tc>
          <w:tcPr>
            <w:tcW w:type="dxa" w:w="1440"/>
          </w:tcPr>
          <w:p>
            <w:pPr>
              <w:jc w:val="right"/>
            </w:pPr>
            <w:r>
              <w:rPr>
                <w:sz w:val="20"/>
              </w:rPr>
              <w:t>$321,953</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$337,724</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$385,649</w:t>
            </w:r>
          </w:p>
        </w:tc>
      </w:tr>
    </w:tbl>
    <w:p/>
    <w:p>
      <w:r>
        <w:rPr>
          <w:b/>
        </w:rPr>
        <w:t>Total Project Cost: $946,649</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34b886a4-484.pdf</w:t>
          </w:r>
        </w:hyperlink>
      </w:r>
    </w:p>
    <w:p>
      <w:pPr>
        <w:pStyle w:val="Heading4"/>
        <w:spacing w:before="40" w:after="20"/>
      </w:pPr>
      <w:r>
        <w:rPr>
          <w:b/>
          <w:i/>
          <w:color w:val="000000"/>
          <w:sz w:val="24"/>
        </w:rPr>
        <w:t>Alternate Text for Visual Component</w:t>
      </w:r>
    </w:p>
    <w:p>
      <w:r>
        <w:t>Visual representation of the problem statement - warming, extreme rain events, and nutrient loading can result in coldwater fish habitat loss and fish kills. Visual display of project objectives, including identifying lake specific watershed protection targets, identifying specific actions to reduce sensitivity, and integration with existing tools....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Minnesota Department of Natural Resources Support Letter</w:t>
            </w:r>
          </w:p>
        </w:tc>
        <w:tc>
          <w:tcPr>
            <w:tcW w:type="dxa" w:w="5400"/>
          </w:tcPr>
          <w:p>
            <w:r>
              <w:rPr>
                <w:sz w:val="20"/>
              </w:rPr>
            </w:r>
            <w:r>
              <w:rPr>
                <w:color w:val="000000" w:themeColor="hyperlink"/>
                <w:sz w:val="20"/>
                <w:u w:val="single"/>
              </w:rPr>
              <w:hyperlink r:id="rId13">
                <w:r>
                  <w:rPr/>
                  <w:t>2e5f548d-e3e.pdf</w:t>
                </w:r>
              </w:hyperlink>
            </w:r>
          </w:p>
        </w:tc>
      </w:tr>
      <w:tr>
        <w:tc>
          <w:tcPr>
            <w:tcW w:type="dxa" w:w="5400"/>
          </w:tcPr>
          <w:p>
            <w:r>
              <w:rPr>
                <w:sz w:val="20"/>
              </w:rPr>
              <w:t>National Park Service Support Letter</w:t>
            </w:r>
          </w:p>
        </w:tc>
        <w:tc>
          <w:tcPr>
            <w:tcW w:type="dxa" w:w="5400"/>
          </w:tcPr>
          <w:p>
            <w:r>
              <w:rPr>
                <w:sz w:val="20"/>
              </w:rPr>
            </w:r>
            <w:r>
              <w:rPr>
                <w:color w:val="000000" w:themeColor="hyperlink"/>
                <w:sz w:val="20"/>
                <w:u w:val="single"/>
              </w:rPr>
              <w:hyperlink r:id="rId14">
                <w:r>
                  <w:rPr/>
                  <w:t>043850a9-1f1.pdf</w:t>
                </w:r>
              </w:hyperlink>
            </w:r>
          </w:p>
        </w:tc>
      </w:tr>
      <w:tr>
        <w:tc>
          <w:tcPr>
            <w:tcW w:type="dxa" w:w="5400"/>
          </w:tcPr>
          <w:p>
            <w:r>
              <w:rPr>
                <w:sz w:val="20"/>
              </w:rPr>
              <w:t>Northern Waters Land Trust Support Letter</w:t>
            </w:r>
          </w:p>
        </w:tc>
        <w:tc>
          <w:tcPr>
            <w:tcW w:type="dxa" w:w="5400"/>
          </w:tcPr>
          <w:p>
            <w:r>
              <w:rPr>
                <w:sz w:val="20"/>
              </w:rPr>
            </w:r>
            <w:r>
              <w:rPr>
                <w:color w:val="000000" w:themeColor="hyperlink"/>
                <w:sz w:val="20"/>
                <w:u w:val="single"/>
              </w:rPr>
              <w:hyperlink r:id="rId15">
                <w:r>
                  <w:rPr/>
                  <w:t>a4807060-23b.pdf</w:t>
                </w:r>
              </w:hyperlink>
            </w:r>
          </w:p>
        </w:tc>
      </w:tr>
      <w:tr>
        <w:tc>
          <w:tcPr>
            <w:tcW w:type="dxa" w:w="5400"/>
          </w:tcPr>
          <w:p>
            <w:r>
              <w:rPr>
                <w:sz w:val="20"/>
              </w:rPr>
              <w:t>The Nature Conservancy Commitment of Work</w:t>
            </w:r>
          </w:p>
        </w:tc>
        <w:tc>
          <w:tcPr>
            <w:tcW w:type="dxa" w:w="5400"/>
          </w:tcPr>
          <w:p>
            <w:r>
              <w:rPr>
                <w:sz w:val="20"/>
              </w:rPr>
            </w:r>
            <w:r>
              <w:rPr>
                <w:color w:val="000000" w:themeColor="hyperlink"/>
                <w:sz w:val="20"/>
                <w:u w:val="single"/>
              </w:rPr>
              <w:hyperlink r:id="rId16">
                <w:r>
                  <w:rPr/>
                  <w:t>b133d23d-0b7.pdf</w:t>
                </w:r>
              </w:hyperlink>
            </w:r>
          </w:p>
        </w:tc>
      </w:tr>
      <w:tr>
        <w:tc>
          <w:tcPr>
            <w:tcW w:type="dxa" w:w="5400"/>
          </w:tcPr>
          <w:p>
            <w:r>
              <w:rPr>
                <w:sz w:val="20"/>
              </w:rPr>
              <w:t>University of Minnesota Sponsored Projects Administration approval to submit</w:t>
            </w:r>
          </w:p>
        </w:tc>
        <w:tc>
          <w:tcPr>
            <w:tcW w:type="dxa" w:w="5400"/>
          </w:tcPr>
          <w:p>
            <w:r>
              <w:rPr>
                <w:sz w:val="20"/>
              </w:rPr>
            </w:r>
            <w:r>
              <w:rPr>
                <w:color w:val="000000" w:themeColor="hyperlink"/>
                <w:sz w:val="20"/>
                <w:u w:val="single"/>
              </w:rPr>
              <w:hyperlink r:id="rId17">
                <w:r>
                  <w:rPr/>
                  <w:t>c2c4473f-004.pdf</w:t>
                </w:r>
              </w:hyperlink>
            </w:r>
          </w:p>
        </w:tc>
      </w:tr>
      <w:tr>
        <w:tc>
          <w:tcPr>
            <w:tcW w:type="dxa" w:w="5400"/>
          </w:tcPr>
          <w:p>
            <w:r>
              <w:rPr>
                <w:sz w:val="20"/>
              </w:rPr>
              <w:t>2025-049 Research Addendum revised_final</w:t>
            </w:r>
          </w:p>
        </w:tc>
        <w:tc>
          <w:tcPr>
            <w:tcW w:type="dxa" w:w="5400"/>
          </w:tcPr>
          <w:p>
            <w:r>
              <w:rPr>
                <w:sz w:val="20"/>
              </w:rPr>
            </w:r>
            <w:r>
              <w:rPr>
                <w:color w:val="000000" w:themeColor="hyperlink"/>
                <w:sz w:val="20"/>
                <w:u w:val="single"/>
              </w:rPr>
              <w:hyperlink r:id="rId18">
                <w:r>
                  <w:rPr/>
                  <w:t>4b7eea7a-c18.docx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Reduced funding for post doctoral research associate to accommodate reduced budget. Added project collaborator Camille Mosley. No other changes were made. </w:t>
        <w:br/>
        <w:t>2/3/2025 added language regarding acknowledgement of Environment and Natural Resources Trust Fund on project print and electronic media, publications, signage, and other communications per the ENRTF Acknowledgment Guidelines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Michael Verhoeven,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34b886a4-484.pdf" TargetMode="External"/><Relationship Id="rId13" Type="http://schemas.openxmlformats.org/officeDocument/2006/relationships/hyperlink" Target="https://lccmrprojectmgmt.leg.mn/media/attachments/2e5f548d-e3e.pdf" TargetMode="External"/><Relationship Id="rId14" Type="http://schemas.openxmlformats.org/officeDocument/2006/relationships/hyperlink" Target="https://lccmrprojectmgmt.leg.mn/media/attachments/043850a9-1f1.pdf" TargetMode="External"/><Relationship Id="rId15" Type="http://schemas.openxmlformats.org/officeDocument/2006/relationships/hyperlink" Target="https://lccmrprojectmgmt.leg.mn/media/attachments/a4807060-23b.pdf" TargetMode="External"/><Relationship Id="rId16" Type="http://schemas.openxmlformats.org/officeDocument/2006/relationships/hyperlink" Target="https://lccmrprojectmgmt.leg.mn/media/attachments/b133d23d-0b7.pdf" TargetMode="External"/><Relationship Id="rId17" Type="http://schemas.openxmlformats.org/officeDocument/2006/relationships/hyperlink" Target="https://lccmrprojectmgmt.leg.mn/media/attachments/c2c4473f-004.pdf" TargetMode="External"/><Relationship Id="rId18" Type="http://schemas.openxmlformats.org/officeDocument/2006/relationships/hyperlink" Target="https://lccmrprojectmgmt.leg.mn/media/attachments/4b7eea7a-c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Protecting Coldwater Fish Habitat in Minnesota Lakes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