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2025-304</w:t>
      </w:r>
    </w:p>
    <w:p>
      <w:r>
        <w:rPr>
          <w:b/>
        </w:rPr>
        <w:t xml:space="preserve">Staff Lead: </w:t>
      </w:r>
      <w:r>
        <w:t>Noah Fribley</w:t>
      </w:r>
    </w:p>
    <w:p>
      <w:r>
        <w:rPr>
          <w:b/>
        </w:rPr>
        <w:t xml:space="preserve">Date this document submitted to LCCMR: </w:t>
      </w:r>
      <w:r>
        <w:t>June 9, 2025</w:t>
      </w:r>
    </w:p>
    <w:p>
      <w:r>
        <w:rPr>
          <w:b/>
        </w:rPr>
        <w:t xml:space="preserve">Project Title: </w:t>
      </w:r>
      <w:r>
        <w:t>Superior Shores: Protecting Our Great Lakes Coastal Habitats</w:t>
      </w:r>
    </w:p>
    <w:p>
      <w:r>
        <w:rPr>
          <w:b/>
        </w:rPr>
        <w:t xml:space="preserve">Project Budget: </w:t>
      </w:r>
      <w:r>
        <w:t>$675,000</w:t>
      </w:r>
    </w:p>
    <w:p/>
    <w:p>
      <w:pPr>
        <w:pStyle w:val="Heading2"/>
        <w:spacing w:before="0" w:after="80"/>
      </w:pPr>
      <w:r>
        <w:rPr>
          <w:b/>
          <w:color w:val="2C559C"/>
          <w:sz w:val="28"/>
        </w:rPr>
        <w:t>Project Manager Information</w:t>
      </w:r>
    </w:p>
    <w:p>
      <w:r>
        <w:rPr>
          <w:b/>
        </w:rPr>
        <w:t xml:space="preserve">Name: </w:t>
      </w:r>
      <w:r>
        <w:t>Hailey Sauer</w:t>
      </w:r>
    </w:p>
    <w:p>
      <w:r>
        <w:rPr>
          <w:b/>
        </w:rPr>
        <w:t xml:space="preserve">Organization: </w:t>
      </w:r>
      <w:r>
        <w:t>Science Museum of Minnesota - St. Croix Watershed Research Station</w:t>
      </w:r>
    </w:p>
    <w:p>
      <w:r>
        <w:rPr>
          <w:b/>
        </w:rPr>
        <w:t xml:space="preserve">Office Telephone: </w:t>
      </w:r>
      <w:r>
        <w:t>(920) 379-1149</w:t>
      </w:r>
    </w:p>
    <w:p>
      <w:r>
        <w:rPr>
          <w:b/>
        </w:rPr>
        <w:t xml:space="preserve">Email: </w:t>
      </w:r>
      <w:r>
        <w:t>hsauer@smm.org</w:t>
      </w:r>
    </w:p>
    <w:p>
      <w:r>
        <w:rPr>
          <w:b/>
        </w:rPr>
        <w:t xml:space="preserve">Web Address: </w:t>
      </w:r>
      <w:r>
        <w:t>https://www.smm.org/scwrs</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03ff</w:t>
      </w:r>
    </w:p>
    <w:p>
      <w:r>
        <w:rPr>
          <w:b/>
        </w:rPr>
        <w:t xml:space="preserve">Appropriation Language: </w:t>
      </w:r>
      <w:r>
        <w:t xml:space="preserve">$675,000 the first year is from the trust fund to the Science Museum of Minnesota for the St. Croix Watershed Research Station to map the locations and survey the biological diversity and water quality of Lake Superior coastal rock pools. This appropriation may also be used to develop outreach materials and host programs on rock pool understanding and conservation.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"Superior Shores" project aims to map, monitor, and conserve Lake Superior's rock pools, enhancing our North Shore's ecosystem health through scientific research, public engagement, and targeted conservation strategies.</w:t>
      </w:r>
    </w:p>
    <w:p>
      <w:pPr>
        <w:spacing w:after="60"/>
      </w:pPr>
      <w:r>
        <w:rPr>
          <w:b/>
        </w:rPr>
        <w:t>Describe the opportunity or problem your proposal seeks to address. Include any relevant background information.</w:t>
      </w:r>
    </w:p>
    <w:p>
      <w:r>
        <w:t>Renowned for its vast beauty, the rugged shoreline of Lake Superior teems with unexplored biodiversity. Carved by relentless weather and waves, the shoreline is pocked with numerous pool-like features known as rock pools. These ecologically dynamic habitats are crucial for supporting local and regional biodiversity – providing sanctuary and breeding grounds for a myriad of organisms. While previous LCCMR efforts have helped monitor and conserve rare plants that depend on the Lake Superior rock pool ecosystem, the pools themselves remain largely overlooked, with no comprehensive inventory detailing their location, habitat quality, or the multitude of organisms they sustain. Studying these ecosystems is essential for understanding the intricate life that depends on them. Given our love for the North Shore, understanding rock pools’ resilience and vulnerability is imperative. These pools face ongoing pressure from weather and climate, increased human activity, and are located along shipping lanes, which all pose risks to shoreline ecosystems and Lake Superior. Ultimately through a comprehensive study of Lake Superior’s rock pools we hope to guide the development of targeted conservation strategies that ensure the protection of the rock pools’ unique biodiversity and the health of the broader ecosystem.</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have an immense opportunity to explore and expand our knowledge of the biodiversity along the Lake Superior shoreline. Using a subset of pools from regions of interest along the north shore we aim to determine the impact of environmental and human stressors on rock pool habitat quality for common and rare species. </w:t>
        <w:br/>
        <w:br/>
        <w:t>We will provide insights into the distribution, overall macro- and micro- diversity, and stressors to Lake Superior rock pool community assemblage. Ultimately our work will yield valuable data for use by resource managers and conservationists dedicated to preserving the ecological integrity of Lake Superior’s coastal habitat through three major efforts:</w:t>
        <w:br/>
        <w:br/>
        <w:t>1) High resolution mapping of Lake Superior’s coastal rock pools using existing Light Detection and Ranging data and aerial imagery, corroborated through ground truth verification.</w:t>
        <w:br/>
        <w:br/>
        <w:t xml:space="preserve">2) Water quality monitoring and biological surveys aimed at measuring the effects of natural (e.g., temperature, pH) and human (e.g., sunscreen UV filters, microplastics) parameters on habitat viability for algae, invertebrate, and amphibian species. </w:t>
        <w:br/>
        <w:br/>
        <w:t>3) Communication of results with resource managers and collaborations with the public on the importance of rock pool habitats as biodiversity hotspots, rare species sanctuaries, and critical nursery habitats.</w:t>
      </w:r>
    </w:p>
    <w:p>
      <w:pPr>
        <w:spacing w:after="60"/>
      </w:pPr>
      <w:r>
        <w:rPr>
          <w:b/>
        </w:rPr>
        <w:t xml:space="preserve">What are the specific project outcomes as they relate to the public purpose of protection, conservation, preservation, and enhancement of the state’s natural resources? </w:t>
      </w:r>
    </w:p>
    <w:p>
      <w:r>
        <w:t xml:space="preserve">Rock pools exemplify the interconnectedness within ecosystems, where the health and diversity of these habitats can have cascading effects on the broader ecological community. We will highlight important North Shore habitats and advocate for the preservation and conservation of these ecosystems for the enjoyment of all Minnesotans by: </w:t>
        <w:br/>
        <w:br/>
        <w:t xml:space="preserve">1) Developing a comprehensive understanding of the biodiversity and ecological dynamics of rock pools along the Lake Superior shoreline. </w:t>
        <w:br/>
        <w:t xml:space="preserve">2) Identifying parameters that drive community assembly and persistence in rock pool ecosystems. </w:t>
        <w:br/>
        <w:t>3) Provide insight into the resilience of rock pool communities to environmental and human stressors, guiding future conservation and management.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Ecological Subsection(s): </w:t>
      </w:r>
      <w:r>
        <w:t>North Shore Highlands</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Delineation and physical characterization of rock pools along the Lake Superior shoreline.</w:t>
      </w:r>
    </w:p>
    <w:p>
      <w:r>
        <w:rPr>
          <w:b/>
        </w:rPr>
        <w:t xml:space="preserve">Activity Budget: </w:t>
      </w:r>
      <w:r>
        <w:t>$125,000</w:t>
      </w:r>
    </w:p>
    <w:p>
      <w:r>
        <w:rPr>
          <w:b/>
        </w:rPr>
        <w:t xml:space="preserve">Activity Description: </w:t>
        <w:br/>
      </w:r>
      <w:r>
        <w:t xml:space="preserve">We will map and characterize rock pools at five potential locations along Lake Superior (e.g., Horseshoe Bay, Artist Point, Temperance River State Park, Gooseberry Falls State Park, Two Harbors). Our focus will be on documenting individual rock pool location, depth, area, and proximity to Lake Superior through three integrative approaches. </w:t>
        <w:br/>
        <w:br/>
        <w:t xml:space="preserve">LiDAR Data Analysis: We use existing LiDAR (Light Detection And Ranging) to create detailed depression maps of the area, allowing us to identify rock pool locations providing precise elevation data. </w:t>
        <w:br/>
        <w:br/>
        <w:t xml:space="preserve">Aerial Photography: We will supplement LiDAR data with aerial photographs, generated through previous LCCMR efforts, to visually identify rock pools, especially those not immediately apparent in LiDAR data due to their size or obscured location. </w:t>
        <w:br/>
        <w:br/>
        <w:t xml:space="preserve">Ground Truthing: We will then verify both LiDAR and aerial photographic data on-site. This ensures that rock pools are correctly identified and physically measured to confirm their dimensions (i.e., area, depth) and proximity to the Lake. </w:t>
        <w:br/>
        <w:br/>
        <w:t>Through integration of advanced technology and traditional fieldwork we’ll enhance our understanding of the physical landscape and ecological features of Lake Superior’s shoreline. The production of high resolution maps of these areas will be crucial for ongoing studies that will conserve the Lake Superior costal habitat.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Analyze existing LiDAR data and aerial photography to produce preliminary digital maps.</w:t>
            </w:r>
          </w:p>
        </w:tc>
        <w:tc>
          <w:tcPr>
            <w:tcW w:type="dxa" w:w="2160"/>
          </w:tcPr>
          <w:p>
            <w:pPr>
              <w:jc w:val="right"/>
            </w:pPr>
            <w:r>
              <w:rPr>
                <w:sz w:val="20"/>
              </w:rPr>
              <w:t>October 31, 2025</w:t>
            </w:r>
          </w:p>
        </w:tc>
      </w:tr>
      <w:tr>
        <w:tc>
          <w:tcPr>
            <w:tcW w:type="dxa" w:w="8640"/>
          </w:tcPr>
          <w:p>
            <w:r>
              <w:rPr>
                <w:sz w:val="20"/>
              </w:rPr>
              <w:t>Conduct field visits to identify pool locations and collect physical measurements.</w:t>
            </w:r>
          </w:p>
        </w:tc>
        <w:tc>
          <w:tcPr>
            <w:tcW w:type="dxa" w:w="2160"/>
          </w:tcPr>
          <w:p>
            <w:pPr>
              <w:jc w:val="right"/>
            </w:pPr>
            <w:r>
              <w:rPr>
                <w:sz w:val="20"/>
              </w:rPr>
              <w:t>August 31, 2026</w:t>
            </w:r>
          </w:p>
        </w:tc>
      </w:tr>
      <w:tr>
        <w:tc>
          <w:tcPr>
            <w:tcW w:type="dxa" w:w="8640"/>
          </w:tcPr>
          <w:p>
            <w:r>
              <w:rPr>
                <w:sz w:val="20"/>
              </w:rPr>
              <w:t>Integrate data, produce high-resolution maps, and make publicly available datasets.</w:t>
            </w:r>
          </w:p>
        </w:tc>
        <w:tc>
          <w:tcPr>
            <w:tcW w:type="dxa" w:w="2160"/>
          </w:tcPr>
          <w:p>
            <w:pPr>
              <w:jc w:val="right"/>
            </w:pPr>
            <w:r>
              <w:rPr>
                <w:sz w:val="20"/>
              </w:rPr>
              <w:t>June 30, 2028</w:t>
            </w:r>
          </w:p>
        </w:tc>
      </w:tr>
    </w:tbl>
    <w:p/>
    <w:p>
      <w:pPr>
        <w:pStyle w:val="Heading3"/>
        <w:spacing w:after="60"/>
      </w:pPr>
      <w:r>
        <w:rPr>
          <w:b/>
          <w:color w:val="254885"/>
          <w:sz w:val="26"/>
        </w:rPr>
        <w:t>Activity 2: Water quality monitoring and biological surveys of Lake Superior’s rock pools.</w:t>
      </w:r>
    </w:p>
    <w:p>
      <w:r>
        <w:rPr>
          <w:b/>
        </w:rPr>
        <w:t xml:space="preserve">Activity Budget: </w:t>
      </w:r>
      <w:r>
        <w:t>$485,000</w:t>
      </w:r>
    </w:p>
    <w:p>
      <w:r>
        <w:rPr>
          <w:b/>
        </w:rPr>
        <w:t xml:space="preserve">Activity Description: </w:t>
        <w:br/>
      </w:r>
      <w:r>
        <w:t>We will evaluate the effects of environmental and human stressors on rock pool ecosystems through temporal water quality monitoring and comprehensive biological surveys – focusing on the interplay between these stressors and aquatic life.</w:t>
        <w:br/>
        <w:br/>
        <w:t xml:space="preserve">Water Quality: We will collect samples from select pools in each region of interest to analyze for nutrients from natural sources, trace metals from earth minerals, and human-made substances like sunscreen chemicals and microplastics. Examining these across seasons will allow us to construct a detailed picture of water quality over time and identify areas of concern. </w:t>
        <w:br/>
        <w:br/>
        <w:t xml:space="preserve">Biological Surveys: Complementing our water quality analysis, we'll conduct extensive biological surveys. We will catalog species across all domains of life within rock pools—from bacteria and algae to animals. Our surveys will not only document the presence of species but also their life stage – from egg to adult. Seasonal documentation of species and life stages will better our understanding of ecosystem dynamics and provide insight into reproductive success and survival rates of species. </w:t>
        <w:br/>
        <w:br/>
        <w:t>The culmination of this activity, alongside the spatial data, will be the production of comprehensive biological (DNR - NHIS) and water quality datasets coupled with high-resolution maps highlighting areas of significant biodiversity and potential ecological impact.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Survey invertebrate and vertebrate communities for one year (2026) across regions of interest</w:t>
            </w:r>
          </w:p>
        </w:tc>
        <w:tc>
          <w:tcPr>
            <w:tcW w:type="dxa" w:w="2160"/>
          </w:tcPr>
          <w:p>
            <w:pPr>
              <w:jc w:val="right"/>
            </w:pPr>
            <w:r>
              <w:rPr>
                <w:sz w:val="20"/>
              </w:rPr>
              <w:t>December 31, 2026</w:t>
            </w:r>
          </w:p>
        </w:tc>
      </w:tr>
      <w:tr>
        <w:tc>
          <w:tcPr>
            <w:tcW w:type="dxa" w:w="8640"/>
          </w:tcPr>
          <w:p>
            <w:r>
              <w:rPr>
                <w:sz w:val="20"/>
              </w:rPr>
              <w:t>Measure nutrients, UV filters, microplastics, trace elements for one year (2026) across regions of interest</w:t>
            </w:r>
          </w:p>
        </w:tc>
        <w:tc>
          <w:tcPr>
            <w:tcW w:type="dxa" w:w="2160"/>
          </w:tcPr>
          <w:p>
            <w:pPr>
              <w:jc w:val="right"/>
            </w:pPr>
            <w:r>
              <w:rPr>
                <w:sz w:val="20"/>
              </w:rPr>
              <w:t>May 31, 2027</w:t>
            </w:r>
          </w:p>
        </w:tc>
      </w:tr>
      <w:tr>
        <w:tc>
          <w:tcPr>
            <w:tcW w:type="dxa" w:w="8640"/>
          </w:tcPr>
          <w:p>
            <w:r>
              <w:rPr>
                <w:sz w:val="20"/>
              </w:rPr>
              <w:t>Survey algal and bacterial communities for one year across regions of interest (2026)</w:t>
            </w:r>
          </w:p>
        </w:tc>
        <w:tc>
          <w:tcPr>
            <w:tcW w:type="dxa" w:w="2160"/>
          </w:tcPr>
          <w:p>
            <w:pPr>
              <w:jc w:val="right"/>
            </w:pPr>
            <w:r>
              <w:rPr>
                <w:sz w:val="20"/>
              </w:rPr>
              <w:t>May 31, 2027</w:t>
            </w:r>
          </w:p>
        </w:tc>
      </w:tr>
      <w:tr>
        <w:tc>
          <w:tcPr>
            <w:tcW w:type="dxa" w:w="8640"/>
          </w:tcPr>
          <w:p>
            <w:r>
              <w:rPr>
                <w:sz w:val="20"/>
              </w:rPr>
              <w:t>Survey invertebrate and vertebrate communities for one year (2027) across regions of interest</w:t>
            </w:r>
          </w:p>
        </w:tc>
        <w:tc>
          <w:tcPr>
            <w:tcW w:type="dxa" w:w="2160"/>
          </w:tcPr>
          <w:p>
            <w:pPr>
              <w:jc w:val="right"/>
            </w:pPr>
            <w:r>
              <w:rPr>
                <w:sz w:val="20"/>
              </w:rPr>
              <w:t>December 31, 2027</w:t>
            </w:r>
          </w:p>
        </w:tc>
      </w:tr>
      <w:tr>
        <w:tc>
          <w:tcPr>
            <w:tcW w:type="dxa" w:w="8640"/>
          </w:tcPr>
          <w:p>
            <w:r>
              <w:rPr>
                <w:sz w:val="20"/>
              </w:rPr>
              <w:t>Measure nutrients, UV filters, microplastics, trace elements for one year (2027) across regions of interest</w:t>
            </w:r>
          </w:p>
        </w:tc>
        <w:tc>
          <w:tcPr>
            <w:tcW w:type="dxa" w:w="2160"/>
          </w:tcPr>
          <w:p>
            <w:pPr>
              <w:jc w:val="right"/>
            </w:pPr>
            <w:r>
              <w:rPr>
                <w:sz w:val="20"/>
              </w:rPr>
              <w:t>May 31, 2028</w:t>
            </w:r>
          </w:p>
        </w:tc>
      </w:tr>
      <w:tr>
        <w:tc>
          <w:tcPr>
            <w:tcW w:type="dxa" w:w="8640"/>
          </w:tcPr>
          <w:p>
            <w:r>
              <w:rPr>
                <w:sz w:val="20"/>
              </w:rPr>
              <w:t>Survey algae and bacterial communities for one year across regions of interest (2027)</w:t>
            </w:r>
          </w:p>
        </w:tc>
        <w:tc>
          <w:tcPr>
            <w:tcW w:type="dxa" w:w="2160"/>
          </w:tcPr>
          <w:p>
            <w:pPr>
              <w:jc w:val="right"/>
            </w:pPr>
            <w:r>
              <w:rPr>
                <w:sz w:val="20"/>
              </w:rPr>
              <w:t>May 31, 2028</w:t>
            </w:r>
          </w:p>
        </w:tc>
      </w:tr>
    </w:tbl>
    <w:p/>
    <w:p>
      <w:pPr>
        <w:pStyle w:val="Heading3"/>
        <w:spacing w:after="60"/>
      </w:pPr>
      <w:r>
        <w:rPr>
          <w:b/>
          <w:color w:val="254885"/>
          <w:sz w:val="26"/>
        </w:rPr>
        <w:t>Activity 3: Engaging stakeholders, the general public, and youth in rock pool conservation efforts.</w:t>
      </w:r>
    </w:p>
    <w:p>
      <w:r>
        <w:rPr>
          <w:b/>
        </w:rPr>
        <w:t xml:space="preserve">Activity Budget: </w:t>
      </w:r>
      <w:r>
        <w:t>$65,000</w:t>
      </w:r>
    </w:p>
    <w:p>
      <w:r>
        <w:rPr>
          <w:b/>
        </w:rPr>
        <w:t xml:space="preserve">Activity Description: </w:t>
        <w:br/>
      </w:r>
      <w:r>
        <w:t>We will guide future management, conservation, and protection efforts of rock pools  by partnering with local, regional, state, tribal, and national partners (letters of support). We’ll share findings at regional resource meetings, via annual webinars highlighting project results, and through targeted communication and outreach materials. All data products will be accessible online and synthesized through scientific publication, maps and databases, reports, and outreach materials.</w:t>
        <w:br/>
        <w:br/>
        <w:t>To highlight rock pools’ ecological significance, we will launch the "Rock Pool Explorers'' program. Partnering with a local children's publishing company in Grand Marais, we will encourage young minds to explore the vibrant world of rock pools. Ultimately, they will transform their scientific observations into published books. By melding the explorative nature of science with the creative process of storytelling, children will become ambassadors of ecological awareness, spreading the message of conservation through their unique perspectives.</w:t>
        <w:br/>
        <w:br/>
        <w:t>As a museum, we’ll develop a STEM curriculum on ecological importance of rock pools. This curriculum will focus on the biodiversity of rock pools, their role in local and regional ecosystems, and the challenges they face from environmental and human-induced stressors. Through interactive experiences, participants will gain a deeper understanding of the ecological dynamics at play in rock pools.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and launch STEM activities across the NE region and state.</w:t>
            </w:r>
          </w:p>
        </w:tc>
        <w:tc>
          <w:tcPr>
            <w:tcW w:type="dxa" w:w="2160"/>
          </w:tcPr>
          <w:p>
            <w:pPr>
              <w:jc w:val="right"/>
            </w:pPr>
            <w:r>
              <w:rPr>
                <w:sz w:val="20"/>
              </w:rPr>
              <w:t>September 30, 2026</w:t>
            </w:r>
          </w:p>
        </w:tc>
      </w:tr>
      <w:tr>
        <w:tc>
          <w:tcPr>
            <w:tcW w:type="dxa" w:w="8640"/>
          </w:tcPr>
          <w:p>
            <w:r>
              <w:rPr>
                <w:sz w:val="20"/>
              </w:rPr>
              <w:t>Host workshops and programming for children, families, and stakeholders throughout the 2026-2028 academic years</w:t>
            </w:r>
          </w:p>
        </w:tc>
        <w:tc>
          <w:tcPr>
            <w:tcW w:type="dxa" w:w="2160"/>
          </w:tcPr>
          <w:p>
            <w:pPr>
              <w:jc w:val="right"/>
            </w:pPr>
            <w:r>
              <w:rPr>
                <w:sz w:val="20"/>
              </w:rPr>
              <w:t>May 31, 2028</w:t>
            </w:r>
          </w:p>
        </w:tc>
      </w:tr>
      <w:tr>
        <w:tc>
          <w:tcPr>
            <w:tcW w:type="dxa" w:w="8640"/>
          </w:tcPr>
          <w:p>
            <w:r>
              <w:rPr>
                <w:sz w:val="20"/>
              </w:rPr>
              <w:t>Publish children-authored books on rock pools</w:t>
            </w:r>
          </w:p>
        </w:tc>
        <w:tc>
          <w:tcPr>
            <w:tcW w:type="dxa" w:w="2160"/>
          </w:tcPr>
          <w:p>
            <w:pPr>
              <w:jc w:val="right"/>
            </w:pPr>
            <w:r>
              <w:rPr>
                <w:sz w:val="20"/>
              </w:rPr>
              <w:t>May 31, 2028</w:t>
            </w:r>
          </w:p>
        </w:tc>
      </w:tr>
      <w:tr>
        <w:tc>
          <w:tcPr>
            <w:tcW w:type="dxa" w:w="8640"/>
          </w:tcPr>
          <w:p>
            <w:r>
              <w:rPr>
                <w:sz w:val="20"/>
              </w:rPr>
              <w:t>Present findings with professional colleagues.</w:t>
            </w:r>
          </w:p>
        </w:tc>
        <w:tc>
          <w:tcPr>
            <w:tcW w:type="dxa" w:w="2160"/>
          </w:tcPr>
          <w:p>
            <w:pPr>
              <w:jc w:val="right"/>
            </w:pPr>
            <w:r>
              <w:rPr>
                <w:sz w:val="20"/>
              </w:rPr>
              <w:t>May 31,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Alex Egan</w:t>
            </w:r>
          </w:p>
        </w:tc>
        <w:tc>
          <w:tcPr>
            <w:tcW w:type="dxa" w:w="1440"/>
          </w:tcPr>
          <w:p>
            <w:r>
              <w:rPr>
                <w:sz w:val="20"/>
              </w:rPr>
              <w:t>National Park Service</w:t>
            </w:r>
          </w:p>
        </w:tc>
        <w:tc>
          <w:tcPr>
            <w:tcW w:type="dxa" w:w="6840"/>
          </w:tcPr>
          <w:p>
            <w:r>
              <w:rPr>
                <w:sz w:val="20"/>
              </w:rPr>
              <w:t>Rock Pool Specialist, Chironomid Specialist</w:t>
            </w:r>
          </w:p>
        </w:tc>
        <w:tc>
          <w:tcPr>
            <w:tcW w:type="dxa" w:w="1080"/>
          </w:tcPr>
          <w:p>
            <w:r>
              <w:rPr>
                <w:sz w:val="20"/>
              </w:rPr>
              <w:t>No</w:t>
            </w:r>
          </w:p>
        </w:tc>
      </w:tr>
      <w:tr>
        <w:tc>
          <w:tcPr>
            <w:tcW w:type="dxa" w:w="1440"/>
          </w:tcPr>
          <w:p>
            <w:r>
              <w:rPr>
                <w:sz w:val="20"/>
              </w:rPr>
              <w:t>Anne Brataas</w:t>
            </w:r>
          </w:p>
        </w:tc>
        <w:tc>
          <w:tcPr>
            <w:tcW w:type="dxa" w:w="1440"/>
          </w:tcPr>
          <w:p>
            <w:r>
              <w:rPr>
                <w:sz w:val="20"/>
              </w:rPr>
              <w:t>Minnesota Children's Press</w:t>
            </w:r>
          </w:p>
        </w:tc>
        <w:tc>
          <w:tcPr>
            <w:tcW w:type="dxa" w:w="6840"/>
          </w:tcPr>
          <w:p>
            <w:r>
              <w:rPr>
                <w:sz w:val="20"/>
              </w:rPr>
              <w:t>Outreach Support</w:t>
            </w:r>
          </w:p>
        </w:tc>
        <w:tc>
          <w:tcPr>
            <w:tcW w:type="dxa" w:w="1080"/>
          </w:tcPr>
          <w:p>
            <w:r>
              <w:rPr>
                <w:sz w:val="20"/>
              </w:rPr>
              <w:t>Yes</w:t>
            </w:r>
          </w:p>
        </w:tc>
      </w:tr>
      <w:tr>
        <w:tc>
          <w:tcPr>
            <w:tcW w:type="dxa" w:w="1440"/>
          </w:tcPr>
          <w:p>
            <w:r>
              <w:rPr>
                <w:sz w:val="20"/>
              </w:rPr>
              <w:t>Randy Beebe</w:t>
            </w:r>
          </w:p>
        </w:tc>
        <w:tc>
          <w:tcPr>
            <w:tcW w:type="dxa" w:w="1440"/>
          </w:tcPr>
          <w:p>
            <w:r>
              <w:rPr>
                <w:sz w:val="20"/>
              </w:rPr>
              <w:t>WolfsHead Research Logistics</w:t>
            </w:r>
          </w:p>
        </w:tc>
        <w:tc>
          <w:tcPr>
            <w:tcW w:type="dxa" w:w="6840"/>
          </w:tcPr>
          <w:p>
            <w:r>
              <w:rPr>
                <w:sz w:val="20"/>
              </w:rPr>
              <w:t>Pilot, Aerial Photography Support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Our project aims to share data, findings, and resources in ways that maximizes their impact on scientific research, resource management, and public awareness. Our comprehensive plan for dissemination includes: peer-reviewed publications, informing state and tribal resource managers, professional and public presentations and outreach, and geospatial publications. </w:t>
        <w:br/>
        <w:br/>
        <w:t>Peer-Reviewed Publications</w:t>
        <w:br/>
        <w:t xml:space="preserve">At the conclusion of the project (June 2028) we will prepare and submit one or more manuscripts to peer-reviewed journals relevant to our field. These publications will detail our methodology, findings, and implications -- ensuring that our research is rigorously evaluated and accessible to the scientific community. </w:t>
        <w:br/>
        <w:br/>
        <w:t xml:space="preserve">Conference and Public Presentations </w:t>
        <w:br/>
        <w:t xml:space="preserve">During the funding period, we will present our findings at the MN Water Resources Conference (Fall 2026/7). This presentation will target professional audiences including researchers, policymakers, and practitioners who can directly benefit from our research. Additionally, we will give informal presentations on our findings at public events hosted by the Science Museum of MN furthering the accessibility of research findings. </w:t>
        <w:br/>
        <w:br/>
        <w:t xml:space="preserve">Geospatial Publications </w:t>
        <w:br/>
        <w:t>We will publish our data on the MN Geospatial Commons, an open-source collaborative space for researchers, cartographers, web developers, journalists, and citizens. These data will include detailed spatial information about location, size, and shape, as well as presence/absence data for biological species. We will ensure that any data related to rare, threatened, endangered species is shared with the MN Department of Natural Resources for inclusion in their Natural Heritage Information System rather than listed in the public dataset. Our data will also include comprehensive water chemistry data collected during the sampling and funding period, contributing to a valuable repository for environmental analysis and decision-making.</w:t>
        <w:br/>
        <w:br/>
        <w:t>In addition to these data, we will create Story Maps of select rock pool areas in high-density regions -- integrating photography, narrative, and data visualization. These Story Maps will highlight the ecological and cultural significance and rock pools and their communities, and making the data more accessible and compelling for a broader audience.</w:t>
        <w:br/>
        <w:br/>
        <w:t xml:space="preserve">Children's Book Publication </w:t>
        <w:br/>
        <w:t xml:space="preserve">Minnesota Children’s Press is a non-profit organization dedicated to empowering young voices through storytelling, publishing, and creative expression. The books created and printed as part of this initiative are not intended for commercial sale. Instead, they are made available to the public often for free or through a "free will donation" model. This approach ensures accessibility to all community members, fostering inclusivity and encouraging a love for reading and storytelling among Minnesota's youth. </w:t>
        <w:br/>
        <w:br/>
        <w:br/>
        <w:t>All dissemination efforts related to this project will prominently acknowledge the support of the Environment and Natural Resources Trust Fund (ENRTF) and the Legislative-Citizen Commission on Minnesota Resources (LCCMR). This acknowledgment will be included in all forms of communication, including but not limited to:</w:t>
        <w:br/>
        <w:br/>
        <w:t>Peer-Reviewed Publications and Reports: All scientific publications, technical reports, and white papers will include a statement recognizing ENRTF/LCCMR support in the acknowledgments section.</w:t>
        <w:br/>
        <w:br/>
        <w:t>Conference and Public Presentations: Oral and poster presentations at academic, professional, and public conferences will include the ENRTF/LCCMR logo on presentation materials, and presenters will verbally acknowledge the funding source.</w:t>
        <w:br/>
        <w:br/>
        <w:t>Educational and Outreach Materials: Any educational resources, brochures, or outreach materials produced for community engagement will display the ENRTF/LCCMR logo and a statement of gratitude for their support.</w:t>
        <w:br/>
        <w:br/>
        <w:t>By consistently recognizing ENRTF/LCCMR's contribution, we aim to highlight the critical role this funding plays in advancing environmental research and stewardship in Minnesota.</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comprehensive datasets, including high-resolution maps and biological surveys, will inform resource managers and conservationists. This ongoing effort will be supported by partnerships with governmental (National Park Services, MN DNR) and non-governmental organizations, ensuring the sustained protection and preservation of rock pool biodiversity. Additionally, educational programs and public engagement initiatives will evolve based on new findings, fostering community involvement in conservation efforts and enhancing ecological awareness.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Didymosphenia Threatens North Shore Streams</w:t>
            </w:r>
          </w:p>
        </w:tc>
        <w:tc>
          <w:tcPr>
            <w:tcW w:type="dxa" w:w="4680"/>
          </w:tcPr>
          <w:p>
            <w:r>
              <w:rPr>
                <w:sz w:val="20"/>
              </w:rPr>
              <w:t>M.L. 2021, First Special Session, Chp. 6, Art. 5, Sec. 2, Subd. 06g</w:t>
            </w:r>
          </w:p>
        </w:tc>
        <w:tc>
          <w:tcPr>
            <w:tcW w:type="dxa" w:w="1440"/>
          </w:tcPr>
          <w:p>
            <w:pPr>
              <w:jc w:val="right"/>
            </w:pPr>
            <w:r>
              <w:rPr>
                <w:sz w:val="20"/>
              </w:rPr>
              <w:t>$197,000</w:t>
            </w:r>
          </w:p>
        </w:tc>
      </w:tr>
      <w:tr>
        <w:tc>
          <w:tcPr>
            <w:tcW w:type="dxa" w:w="4680"/>
          </w:tcPr>
          <w:p>
            <w:r>
              <w:rPr>
                <w:sz w:val="20"/>
              </w:rPr>
              <w:t>Unprecedented Change Threatens Minnesota’s Pristine Lakes</w:t>
            </w:r>
          </w:p>
        </w:tc>
        <w:tc>
          <w:tcPr>
            <w:tcW w:type="dxa" w:w="4680"/>
          </w:tcPr>
          <w:p>
            <w:r>
              <w:rPr>
                <w:sz w:val="20"/>
              </w:rPr>
              <w:t>M.L. 2021, First Special Session, Chp. 6, Art. 5, Sec. 2, Subd. 20a1</w:t>
            </w:r>
          </w:p>
        </w:tc>
        <w:tc>
          <w:tcPr>
            <w:tcW w:type="dxa" w:w="1440"/>
          </w:tcPr>
          <w:p>
            <w:pPr>
              <w:jc w:val="right"/>
            </w:pPr>
            <w:r>
              <w:rPr>
                <w:sz w:val="20"/>
              </w:rPr>
              <w:t>$482,000</w:t>
            </w:r>
          </w:p>
        </w:tc>
      </w:tr>
      <w:tr>
        <w:tc>
          <w:tcPr>
            <w:tcW w:type="dxa" w:w="4680"/>
          </w:tcPr>
          <w:p>
            <w:r>
              <w:rPr>
                <w:sz w:val="20"/>
              </w:rPr>
              <w:t>Salt Threatens Minnesota Water Quality and Fisheries</w:t>
            </w:r>
          </w:p>
        </w:tc>
        <w:tc>
          <w:tcPr>
            <w:tcW w:type="dxa" w:w="4680"/>
          </w:tcPr>
          <w:p>
            <w:r>
              <w:rPr>
                <w:sz w:val="20"/>
              </w:rPr>
              <w:t>M.L. 2022, , Chp. 94, Art. , Sec. 2, Subd. 04l</w:t>
            </w:r>
          </w:p>
        </w:tc>
        <w:tc>
          <w:tcPr>
            <w:tcW w:type="dxa" w:w="1440"/>
          </w:tcPr>
          <w:p>
            <w:pPr>
              <w:jc w:val="right"/>
            </w:pPr>
            <w:r>
              <w:rPr>
                <w:sz w:val="20"/>
              </w:rPr>
              <w:t>$1,228,000</w:t>
            </w:r>
          </w:p>
        </w:tc>
      </w:tr>
      <w:tr>
        <w:tc>
          <w:tcPr>
            <w:tcW w:type="dxa" w:w="4680"/>
          </w:tcPr>
          <w:p>
            <w:r>
              <w:rPr>
                <w:sz w:val="20"/>
              </w:rPr>
              <w:t>Didymo II – The North Shore Threat Continues</w:t>
            </w:r>
          </w:p>
        </w:tc>
        <w:tc>
          <w:tcPr>
            <w:tcW w:type="dxa" w:w="4680"/>
          </w:tcPr>
          <w:p>
            <w:r>
              <w:rPr>
                <w:sz w:val="20"/>
              </w:rPr>
              <w:t>M.L. 2023, , Chp. 60, Art. 2, Sec. 2, Subd. 04k</w:t>
            </w:r>
          </w:p>
        </w:tc>
        <w:tc>
          <w:tcPr>
            <w:tcW w:type="dxa" w:w="1440"/>
          </w:tcPr>
          <w:p>
            <w:pPr>
              <w:jc w:val="right"/>
            </w:pPr>
            <w:r>
              <w:rPr>
                <w:sz w:val="20"/>
              </w:rPr>
              <w:t>$394,000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Hailey Sauer</w:t>
            </w:r>
          </w:p>
        </w:tc>
        <w:tc>
          <w:tcPr>
            <w:tcW w:type="dxa" w:w="1440"/>
          </w:tcPr>
          <w:p>
            <w:r>
              <w:rPr>
                <w:sz w:val="20"/>
              </w:rPr>
            </w:r>
          </w:p>
        </w:tc>
        <w:tc>
          <w:tcPr>
            <w:tcW w:type="dxa" w:w="5472"/>
          </w:tcPr>
          <w:p>
            <w:r>
              <w:rPr>
                <w:sz w:val="20"/>
              </w:rPr>
              <w:t>Project Management, Spatial Analysis, Fieldwork, Genomics, Water Quality, Analysis, Reporting, and Outreach</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1.65</w:t>
            </w:r>
          </w:p>
        </w:tc>
        <w:tc>
          <w:tcPr>
            <w:tcW w:type="dxa" w:w="360"/>
          </w:tcPr>
          <w:p>
            <w:r>
              <w:rPr>
                <w:sz w:val="20"/>
              </w:rPr>
            </w:r>
          </w:p>
        </w:tc>
        <w:tc>
          <w:tcPr>
            <w:tcW w:type="dxa" w:w="1152"/>
          </w:tcPr>
          <w:p>
            <w:pPr>
              <w:jc w:val="right"/>
            </w:pPr>
            <w:r>
              <w:rPr>
                <w:sz w:val="20"/>
              </w:rPr>
              <w:t>$129,402</w:t>
            </w:r>
          </w:p>
        </w:tc>
      </w:tr>
      <w:tr>
        <w:tc>
          <w:tcPr>
            <w:tcW w:type="dxa" w:w="864"/>
          </w:tcPr>
          <w:p>
            <w:r>
              <w:rPr>
                <w:sz w:val="20"/>
              </w:rPr>
              <w:t>Mark Edlund</w:t>
            </w:r>
          </w:p>
        </w:tc>
        <w:tc>
          <w:tcPr>
            <w:tcW w:type="dxa" w:w="1440"/>
          </w:tcPr>
          <w:p>
            <w:r>
              <w:rPr>
                <w:sz w:val="20"/>
              </w:rPr>
            </w:r>
          </w:p>
        </w:tc>
        <w:tc>
          <w:tcPr>
            <w:tcW w:type="dxa" w:w="5472"/>
          </w:tcPr>
          <w:p>
            <w:r>
              <w:rPr>
                <w:sz w:val="20"/>
              </w:rPr>
              <w:t>Project Coordination, Fieldwork, Diatom Analysis, Reporting, and Outreach</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0.66</w:t>
            </w:r>
          </w:p>
        </w:tc>
        <w:tc>
          <w:tcPr>
            <w:tcW w:type="dxa" w:w="360"/>
          </w:tcPr>
          <w:p>
            <w:r>
              <w:rPr>
                <w:sz w:val="20"/>
              </w:rPr>
            </w:r>
          </w:p>
        </w:tc>
        <w:tc>
          <w:tcPr>
            <w:tcW w:type="dxa" w:w="1152"/>
          </w:tcPr>
          <w:p>
            <w:pPr>
              <w:jc w:val="right"/>
            </w:pPr>
            <w:r>
              <w:rPr>
                <w:sz w:val="20"/>
              </w:rPr>
              <w:t>$96,554</w:t>
            </w:r>
          </w:p>
        </w:tc>
      </w:tr>
      <w:tr>
        <w:tc>
          <w:tcPr>
            <w:tcW w:type="dxa" w:w="864"/>
          </w:tcPr>
          <w:p>
            <w:r>
              <w:rPr>
                <w:sz w:val="20"/>
              </w:rPr>
              <w:t>Science Museum of MN - Education Specialist</w:t>
            </w:r>
          </w:p>
        </w:tc>
        <w:tc>
          <w:tcPr>
            <w:tcW w:type="dxa" w:w="1440"/>
          </w:tcPr>
          <w:p>
            <w:r>
              <w:rPr>
                <w:sz w:val="20"/>
              </w:rPr>
            </w:r>
          </w:p>
        </w:tc>
        <w:tc>
          <w:tcPr>
            <w:tcW w:type="dxa" w:w="5472"/>
          </w:tcPr>
          <w:p>
            <w:r>
              <w:rPr>
                <w:sz w:val="20"/>
              </w:rPr>
              <w:t>Curriculum development and dissemination</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$20,530</w:t>
            </w:r>
          </w:p>
        </w:tc>
      </w:tr>
      <w:tr>
        <w:tc>
          <w:tcPr>
            <w:tcW w:type="dxa" w:w="864"/>
          </w:tcPr>
          <w:p>
            <w:r>
              <w:rPr>
                <w:sz w:val="20"/>
              </w:rPr>
              <w:t>Field Technician I - Biological Specialist</w:t>
            </w:r>
          </w:p>
        </w:tc>
        <w:tc>
          <w:tcPr>
            <w:tcW w:type="dxa" w:w="1440"/>
          </w:tcPr>
          <w:p>
            <w:r>
              <w:rPr>
                <w:sz w:val="20"/>
              </w:rPr>
            </w:r>
          </w:p>
        </w:tc>
        <w:tc>
          <w:tcPr>
            <w:tcW w:type="dxa" w:w="5472"/>
          </w:tcPr>
          <w:p>
            <w:r>
              <w:rPr>
                <w:sz w:val="20"/>
              </w:rPr>
              <w:t>Fieldwork, Analysis, Data Management</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$54,388</w:t>
            </w:r>
          </w:p>
        </w:tc>
      </w:tr>
      <w:tr>
        <w:tc>
          <w:tcPr>
            <w:tcW w:type="dxa" w:w="864"/>
          </w:tcPr>
          <w:p>
            <w:r>
              <w:rPr>
                <w:sz w:val="20"/>
              </w:rPr>
              <w:t>Field Technician II - Mapping Specialist</w:t>
            </w:r>
          </w:p>
        </w:tc>
        <w:tc>
          <w:tcPr>
            <w:tcW w:type="dxa" w:w="1440"/>
          </w:tcPr>
          <w:p>
            <w:r>
              <w:rPr>
                <w:sz w:val="20"/>
              </w:rPr>
            </w:r>
          </w:p>
        </w:tc>
        <w:tc>
          <w:tcPr>
            <w:tcW w:type="dxa" w:w="5472"/>
          </w:tcPr>
          <w:p>
            <w:r>
              <w:rPr>
                <w:sz w:val="20"/>
              </w:rPr>
              <w:t>Fieldwork, Analysis, Data Management</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$17,244</w:t>
            </w:r>
          </w:p>
        </w:tc>
      </w:tr>
      <w:tr>
        <w:tc>
          <w:tcPr>
            <w:tcW w:type="dxa" w:w="864"/>
          </w:tcPr>
          <w:p>
            <w:r>
              <w:rPr>
                <w:sz w:val="20"/>
              </w:rPr>
              <w:t>David Burge</w:t>
            </w:r>
          </w:p>
        </w:tc>
        <w:tc>
          <w:tcPr>
            <w:tcW w:type="dxa" w:w="1440"/>
          </w:tcPr>
          <w:p>
            <w:r>
              <w:rPr>
                <w:sz w:val="20"/>
              </w:rPr>
            </w:r>
          </w:p>
        </w:tc>
        <w:tc>
          <w:tcPr>
            <w:tcW w:type="dxa" w:w="5472"/>
          </w:tcPr>
          <w:p>
            <w:r>
              <w:rPr>
                <w:sz w:val="20"/>
              </w:rPr>
              <w:t>Fieldwork, Diatom and Algae Analysis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1.14</w:t>
            </w:r>
          </w:p>
        </w:tc>
        <w:tc>
          <w:tcPr>
            <w:tcW w:type="dxa" w:w="360"/>
          </w:tcPr>
          <w:p>
            <w:r>
              <w:rPr>
                <w:sz w:val="20"/>
              </w:rPr>
            </w:r>
          </w:p>
        </w:tc>
        <w:tc>
          <w:tcPr>
            <w:tcW w:type="dxa" w:w="1152"/>
          </w:tcPr>
          <w:p>
            <w:pPr>
              <w:jc w:val="right"/>
            </w:pPr>
            <w:r>
              <w:rPr>
                <w:sz w:val="20"/>
              </w:rPr>
              <w:t>$115,200</w:t>
            </w:r>
          </w:p>
        </w:tc>
      </w:tr>
      <w:tr>
        <w:tc>
          <w:tcPr>
            <w:tcW w:type="dxa" w:w="864"/>
          </w:tcPr>
          <w:p>
            <w:r>
              <w:rPr>
                <w:sz w:val="20"/>
              </w:rPr>
              <w:t>Kui Hu</w:t>
            </w:r>
          </w:p>
        </w:tc>
        <w:tc>
          <w:tcPr>
            <w:tcW w:type="dxa" w:w="1440"/>
          </w:tcPr>
          <w:p>
            <w:r>
              <w:rPr>
                <w:sz w:val="20"/>
              </w:rPr>
            </w:r>
          </w:p>
        </w:tc>
        <w:tc>
          <w:tcPr>
            <w:tcW w:type="dxa" w:w="5472"/>
          </w:tcPr>
          <w:p>
            <w:r>
              <w:rPr>
                <w:sz w:val="20"/>
              </w:rPr>
              <w:t>Fieldwork, Water Quality Analysis, Diatom Analysis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0.33</w:t>
            </w:r>
          </w:p>
        </w:tc>
        <w:tc>
          <w:tcPr>
            <w:tcW w:type="dxa" w:w="360"/>
          </w:tcPr>
          <w:p>
            <w:r>
              <w:rPr>
                <w:sz w:val="20"/>
              </w:rPr>
            </w:r>
          </w:p>
        </w:tc>
        <w:tc>
          <w:tcPr>
            <w:tcW w:type="dxa" w:w="1152"/>
          </w:tcPr>
          <w:p>
            <w:pPr>
              <w:jc w:val="right"/>
            </w:pPr>
            <w:r>
              <w:rPr>
                <w:sz w:val="20"/>
              </w:rPr>
              <w:t>$25,880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$459,198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SCWRS - Analytical Lab</w:t>
            </w:r>
          </w:p>
        </w:tc>
        <w:tc>
          <w:tcPr>
            <w:tcW w:type="dxa" w:w="1440"/>
          </w:tcPr>
          <w:p>
            <w:r>
              <w:rPr>
                <w:sz w:val="20"/>
              </w:rPr>
              <w:t>Internal services or fees (uncommon)</w:t>
            </w:r>
          </w:p>
        </w:tc>
        <w:tc>
          <w:tcPr>
            <w:tcW w:type="dxa" w:w="5472"/>
          </w:tcPr>
          <w:p>
            <w:r>
              <w:rPr>
                <w:sz w:val="20"/>
              </w:rPr>
              <w:t>Water Quality analytical costs, 300 samples, analysis for TN/TP, DIN/SRP, DSi, DOC, DIC, benthic chlorophyll a, ash free dry mass, TSS/VSS: 300 samples @ $210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$63,000</w:t>
            </w:r>
          </w:p>
        </w:tc>
      </w:tr>
      <w:tr>
        <w:tc>
          <w:tcPr>
            <w:tcW w:type="dxa" w:w="864"/>
          </w:tcPr>
          <w:p>
            <w:r>
              <w:rPr>
                <w:sz w:val="20"/>
              </w:rPr>
              <w:t>University of Minnesota or Competitive Bid</w:t>
            </w:r>
          </w:p>
        </w:tc>
        <w:tc>
          <w:tcPr>
            <w:tcW w:type="dxa" w:w="1440"/>
          </w:tcPr>
          <w:p>
            <w:r>
              <w:rPr>
                <w:sz w:val="20"/>
              </w:rPr>
              <w:t>Service Contract</w:t>
            </w:r>
          </w:p>
        </w:tc>
        <w:tc>
          <w:tcPr>
            <w:tcW w:type="dxa" w:w="5472"/>
          </w:tcPr>
          <w:p>
            <w:r>
              <w:rPr>
                <w:sz w:val="20"/>
              </w:rPr>
              <w:t>HPLC for Sunscreen UV Filters: 50 samples @ $200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tcPr>
          <w:p>
            <w:r>
              <w:rPr>
                <w:sz w:val="20"/>
              </w:rPr>
              <w:t>Northwestern University or Competitive Bid</w:t>
            </w:r>
          </w:p>
        </w:tc>
        <w:tc>
          <w:tcPr>
            <w:tcW w:type="dxa" w:w="1440"/>
          </w:tcPr>
          <w:p>
            <w:r>
              <w:rPr>
                <w:sz w:val="20"/>
              </w:rPr>
              <w:t>Service Contract</w:t>
            </w:r>
          </w:p>
        </w:tc>
        <w:tc>
          <w:tcPr>
            <w:tcW w:type="dxa" w:w="5472"/>
          </w:tcPr>
          <w:p>
            <w:r>
              <w:rPr>
                <w:sz w:val="20"/>
              </w:rPr>
              <w:t>ICP-OES for Trace Element Analysis: 300 samples @ $120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$36,000</w:t>
            </w:r>
          </w:p>
        </w:tc>
      </w:tr>
      <w:tr>
        <w:tc>
          <w:tcPr>
            <w:tcW w:type="dxa" w:w="864"/>
          </w:tcPr>
          <w:p>
            <w:r>
              <w:rPr>
                <w:sz w:val="20"/>
              </w:rPr>
              <w:t>University of California Davis or Competitive Bid</w:t>
            </w:r>
          </w:p>
        </w:tc>
        <w:tc>
          <w:tcPr>
            <w:tcW w:type="dxa" w:w="1440"/>
          </w:tcPr>
          <w:p>
            <w:r>
              <w:rPr>
                <w:sz w:val="20"/>
              </w:rPr>
              <w:t>Service Contract</w:t>
            </w:r>
          </w:p>
        </w:tc>
        <w:tc>
          <w:tcPr>
            <w:tcW w:type="dxa" w:w="5472"/>
          </w:tcPr>
          <w:p>
            <w:r>
              <w:rPr>
                <w:sz w:val="20"/>
              </w:rPr>
              <w:t>Isotopical Analysis of Water: 400 samples @ $15.50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$6,200</w:t>
            </w:r>
          </w:p>
        </w:tc>
      </w:tr>
      <w:tr>
        <w:tc>
          <w:tcPr>
            <w:tcW w:type="dxa" w:w="864"/>
          </w:tcPr>
          <w:p>
            <w:r>
              <w:rPr>
                <w:sz w:val="20"/>
              </w:rPr>
              <w:t>Agilent Technologies Analytic Lab or Competitive Bid</w:t>
            </w:r>
          </w:p>
        </w:tc>
        <w:tc>
          <w:tcPr>
            <w:tcW w:type="dxa" w:w="1440"/>
          </w:tcPr>
          <w:p>
            <w:r>
              <w:rPr>
                <w:sz w:val="20"/>
              </w:rPr>
              <w:t>Service Contract</w:t>
            </w:r>
          </w:p>
        </w:tc>
        <w:tc>
          <w:tcPr>
            <w:tcW w:type="dxa" w:w="5472"/>
          </w:tcPr>
          <w:p>
            <w:r>
              <w:rPr>
                <w:sz w:val="20"/>
              </w:rPr>
              <w:t>LDIR for Microplastics Analysis: 50 samples @ $200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tcPr>
          <w:p>
            <w:r>
              <w:rPr>
                <w:sz w:val="20"/>
              </w:rPr>
              <w:t>SeqCenter or Competitive Bid</w:t>
            </w:r>
          </w:p>
        </w:tc>
        <w:tc>
          <w:tcPr>
            <w:tcW w:type="dxa" w:w="1440"/>
          </w:tcPr>
          <w:p>
            <w:r>
              <w:rPr>
                <w:sz w:val="20"/>
              </w:rPr>
              <w:t>Service Contract</w:t>
            </w:r>
          </w:p>
        </w:tc>
        <w:tc>
          <w:tcPr>
            <w:tcW w:type="dxa" w:w="5472"/>
          </w:tcPr>
          <w:p>
            <w:r>
              <w:rPr>
                <w:sz w:val="20"/>
              </w:rPr>
              <w:t>Sequencing of algal and bacterial DNA: 50 samples @ $248</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$12,414</w:t>
            </w:r>
          </w:p>
        </w:tc>
      </w:tr>
      <w:tr>
        <w:tc>
          <w:tcPr>
            <w:tcW w:type="dxa" w:w="864"/>
          </w:tcPr>
          <w:p>
            <w:r>
              <w:rPr>
                <w:sz w:val="20"/>
              </w:rPr>
              <w:t>Minnesota Children's Press</w:t>
            </w:r>
          </w:p>
        </w:tc>
        <w:tc>
          <w:tcPr>
            <w:tcW w:type="dxa" w:w="1440"/>
          </w:tcPr>
          <w:p>
            <w:r>
              <w:rPr>
                <w:sz w:val="20"/>
              </w:rPr>
              <w:t>Subaward</w:t>
            </w:r>
          </w:p>
        </w:tc>
        <w:tc>
          <w:tcPr>
            <w:tcW w:type="dxa" w:w="5472"/>
          </w:tcPr>
          <w:p>
            <w:r>
              <w:rPr>
                <w:sz w:val="20"/>
              </w:rPr>
              <w:t>Production of outreach and education materials including published text to educate on the importance of rock pool environments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w:t>
            </w:r>
          </w:p>
        </w:tc>
      </w:tr>
      <w:tr>
        <w:tc>
          <w:tcPr>
            <w:tcW w:type="dxa" w:w="864"/>
          </w:tcPr>
          <w:p>
            <w:r>
              <w:rPr>
                <w:sz w:val="20"/>
              </w:rPr>
              <w:t>WolfsHead Research Logistics</w:t>
            </w:r>
          </w:p>
        </w:tc>
        <w:tc>
          <w:tcPr>
            <w:tcW w:type="dxa" w:w="1440"/>
          </w:tcPr>
          <w:p>
            <w:r>
              <w:rPr>
                <w:sz w:val="20"/>
              </w:rPr>
              <w:t>Service Contract</w:t>
            </w:r>
          </w:p>
        </w:tc>
        <w:tc>
          <w:tcPr>
            <w:tcW w:type="dxa" w:w="5472"/>
          </w:tcPr>
          <w:p>
            <w:r>
              <w:rPr>
                <w:sz w:val="20"/>
              </w:rPr>
              <w:t>Support for collecting aerial imagery for ground truthing activities in activity 1</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$151,614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Fieldwork and Sampling Supplies</w:t>
            </w:r>
          </w:p>
        </w:tc>
        <w:tc>
          <w:tcPr>
            <w:tcW w:type="dxa" w:w="4032"/>
          </w:tcPr>
          <w:p>
            <w:r>
              <w:rPr>
                <w:sz w:val="20"/>
              </w:rPr>
              <w:t>Expendable supplies for sampling (bottles, vials, syringes), DNA extraction and microplastic sorting supplies, identification guides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$14,322</w:t>
            </w:r>
          </w:p>
        </w:tc>
      </w:tr>
      <w:tr>
        <w:tc>
          <w:tcPr>
            <w:tcW w:type="dxa" w:w="864"/>
          </w:tcPr>
          <w:p>
            <w:r>
              <w:rPr>
                <w:sz w:val="20"/>
              </w:rPr>
            </w:r>
          </w:p>
        </w:tc>
        <w:tc>
          <w:tcPr>
            <w:tcW w:type="dxa" w:w="1440"/>
          </w:tcPr>
          <w:p>
            <w:r>
              <w:rPr>
                <w:sz w:val="20"/>
              </w:rPr>
              <w:t>Equipment</w:t>
            </w:r>
          </w:p>
        </w:tc>
        <w:tc>
          <w:tcPr>
            <w:tcW w:type="dxa" w:w="5472"/>
          </w:tcPr>
          <w:p>
            <w:r>
              <w:rPr>
                <w:sz w:val="20"/>
              </w:rPr>
              <w:t>GPS or other navigational System</w:t>
            </w:r>
          </w:p>
        </w:tc>
        <w:tc>
          <w:tcPr>
            <w:tcW w:type="dxa" w:w="4032"/>
          </w:tcPr>
          <w:p>
            <w:r>
              <w:rPr>
                <w:sz w:val="20"/>
              </w:rPr>
              <w:t>For use in ground truthing and inventory mapping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$19,322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Aerial Photography Drone</w:t>
            </w:r>
          </w:p>
        </w:tc>
        <w:tc>
          <w:tcPr>
            <w:tcW w:type="dxa" w:w="4032"/>
          </w:tcPr>
          <w:p>
            <w:r>
              <w:rPr>
                <w:sz w:val="20"/>
              </w:rPr>
              <w:t>For use in ground truthing and inventory analysis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 Trips (3 days, 2 nights - 3 persons) - 950 miles/trip, $86/day per diem, $0.70/mile, $220/night lodging</w:t>
            </w:r>
          </w:p>
        </w:tc>
        <w:tc>
          <w:tcPr>
            <w:tcW w:type="dxa" w:w="4032"/>
          </w:tcPr>
          <w:p>
            <w:r>
              <w:rPr>
                <w:sz w:val="20"/>
              </w:rPr>
              <w:t>Fieldwork to accomplish activity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$11,036</w:t>
            </w:r>
          </w:p>
        </w:tc>
      </w:tr>
      <w:tr>
        <w:tc>
          <w:tcPr>
            <w:tcW w:type="dxa" w:w="864"/>
          </w:tcPr>
          <w:p>
            <w:r>
              <w:rPr>
                <w:sz w:val="20"/>
              </w:rPr>
            </w:r>
          </w:p>
        </w:tc>
        <w:tc>
          <w:tcPr>
            <w:tcW w:type="dxa" w:w="1440"/>
          </w:tcPr>
          <w:p>
            <w:r>
              <w:rPr>
                <w:sz w:val="20"/>
              </w:rPr>
              <w:t>Miles/ Meals/ Lodging</w:t>
            </w:r>
          </w:p>
        </w:tc>
        <w:tc>
          <w:tcPr>
            <w:tcW w:type="dxa" w:w="5472"/>
          </w:tcPr>
          <w:p>
            <w:r>
              <w:rPr>
                <w:sz w:val="20"/>
              </w:rPr>
              <w:t>6 Trips (4 days, 3 nights - 3 persons) - 950 miles/trip, $86/day per diem, $0.70/mile, $220/night lodging</w:t>
            </w:r>
          </w:p>
        </w:tc>
        <w:tc>
          <w:tcPr>
            <w:tcW w:type="dxa" w:w="4032"/>
          </w:tcPr>
          <w:p>
            <w:r>
              <w:rPr>
                <w:sz w:val="20"/>
              </w:rPr>
              <w:t>Fieldwork to complete activity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$16,377</w:t>
            </w:r>
          </w:p>
        </w:tc>
      </w:tr>
      <w:tr>
        <w:tc>
          <w:tcPr>
            <w:tcW w:type="dxa" w:w="864"/>
          </w:tcPr>
          <w:p>
            <w:r>
              <w:rPr>
                <w:sz w:val="20"/>
              </w:rPr>
            </w:r>
          </w:p>
        </w:tc>
        <w:tc>
          <w:tcPr>
            <w:tcW w:type="dxa" w:w="1440"/>
          </w:tcPr>
          <w:p>
            <w:r>
              <w:rPr>
                <w:sz w:val="20"/>
              </w:rPr>
              <w:t>Miles/ Meals/ Lodging</w:t>
            </w:r>
          </w:p>
        </w:tc>
        <w:tc>
          <w:tcPr>
            <w:tcW w:type="dxa" w:w="5472"/>
          </w:tcPr>
          <w:p>
            <w:r>
              <w:rPr>
                <w:sz w:val="20"/>
              </w:rPr>
              <w:t>2 Trips (3 days, 2 nights - 3 persons) - 950 miles/trip, $86/day per diem, $0.70/mile, $220/night lodging</w:t>
            </w:r>
          </w:p>
        </w:tc>
        <w:tc>
          <w:tcPr>
            <w:tcW w:type="dxa" w:w="4032"/>
          </w:tcPr>
          <w:p>
            <w:r>
              <w:rPr>
                <w:sz w:val="20"/>
              </w:rPr>
              <w:t>Fieldwork to complete activity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$5,518</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Cost to register and attend the water resources conference 5 persons @ $375 registration, 50 miles, $49per diem x2 days</w:t>
            </w:r>
          </w:p>
        </w:tc>
        <w:tc>
          <w:tcPr>
            <w:tcW w:type="dxa" w:w="4032"/>
          </w:tcPr>
          <w:p>
            <w:r>
              <w:rPr>
                <w:sz w:val="20"/>
              </w:rPr>
              <w:t>Dissemination of results with colleagues and water resource managers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$35,366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Page charges</w:t>
            </w:r>
          </w:p>
        </w:tc>
        <w:tc>
          <w:tcPr>
            <w:tcW w:type="dxa" w:w="4032"/>
          </w:tcPr>
          <w:p>
            <w:r>
              <w:rPr>
                <w:sz w:val="20"/>
              </w:rPr>
              <w:t>Activity 3 milestone and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$1,750</w:t>
            </w:r>
          </w:p>
        </w:tc>
      </w:tr>
      <w:tr>
        <w:tc>
          <w:tcPr>
            <w:tcW w:type="dxa" w:w="864"/>
          </w:tcPr>
          <w:p>
            <w:r>
              <w:rPr>
                <w:sz w:val="20"/>
              </w:rPr>
            </w:r>
          </w:p>
        </w:tc>
        <w:tc>
          <w:tcPr>
            <w:tcW w:type="dxa" w:w="1440"/>
          </w:tcPr>
          <w:p>
            <w:r>
              <w:rPr>
                <w:sz w:val="20"/>
              </w:rPr>
              <w:t>Printing</w:t>
            </w:r>
          </w:p>
        </w:tc>
        <w:tc>
          <w:tcPr>
            <w:tcW w:type="dxa" w:w="5472"/>
          </w:tcPr>
          <w:p>
            <w:r>
              <w:rPr>
                <w:sz w:val="20"/>
              </w:rPr>
              <w:t>Printing Children's Books</w:t>
            </w:r>
          </w:p>
        </w:tc>
        <w:tc>
          <w:tcPr>
            <w:tcW w:type="dxa" w:w="4032"/>
          </w:tcPr>
          <w:p>
            <w:r>
              <w:rPr>
                <w:sz w:val="20"/>
              </w:rPr>
              <w:t>Activity 3 milestone and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Aerial Photography Drone</w:t>
            </w:r>
          </w:p>
        </w:tc>
        <w:tc>
          <w:tcPr>
            <w:tcW w:type="dxa" w:w="7560"/>
          </w:tcPr>
          <w:p>
            <w:r>
              <w:rPr>
                <w:sz w:val="20"/>
              </w:rPr>
              <w:t>The purchase of a drone is critical to the success of this project. The rock pools of the North Shore, vary in size and are often located in rugged or remote areas. They are not fully visible in existing aerial or plane-derived imagery due to insufficient spatial resolution. Accurate mapping is essential for the proposal and for understanding ecological dynamics, hydrological patterns, and the impacts of climate change on these unique microhabitats.</w:t>
              <w:br/>
              <w:br/>
              <w:t>Necessity and Direct Relevance to the Project</w:t>
              <w:br/>
              <w:t>(1) High-Resolution Mapping</w:t>
              <w:br/>
              <w:t>The drone provides the precise, high-resolution imagery needed to identify and map rock pools that are otherwise undetectable using available data sources. Without this technology, the project risks incomplete or inaccurate results, undermining both current and future conservation efforts.</w:t>
              <w:br/>
              <w:br/>
              <w:t>(2) Efficiency and Accessibility</w:t>
              <w:br/>
              <w:t>Many rock pools are located in areas that are difficult or hazardous to access on foot. The drone enables rapid, safe data collection across these inaccessible areas, significantly reducing field time and ensuring comprehensive coverage.</w:t>
              <w:br/>
              <w:br/>
              <w:t>The drone is not a general-use piece of equipment but an essential tool directly tied to the specific goals of this project and the broader environmental monitoring program along the North Shore. Its continued use will ensure that the initial investment provides long-term benefits to Minnesota’s natural resource management efforts. Given the critical role it plays in both the immediate and future success of this work, we seek an explicit exception for its purchase.</w:t>
              <w:br/>
            </w:r>
            <w:r>
              <w:rPr>
                <w:b/>
                <w:sz w:val="20"/>
              </w:rPr>
              <w:t xml:space="preserve">Additional Explanation : </w:t>
            </w:r>
            <w:r>
              <w:rPr>
                <w:sz w:val="20"/>
              </w:rPr>
              <w:t>Following this project, the drone ​could continue to be used  for environmental monitoring and mapping​ along the North Shore and similar freshwater ecosystems throughout Minnesota. This includes:</w:t>
              <w:br/>
              <w:br/>
              <w:t>(1) Long-Term Monitoring of Rock Pools</w:t>
              <w:br/>
              <w:t>The drone​ would support follow-up studies to assess temporal changes in rock pool hydrology, biodiversity, and ecological health.</w:t>
              <w:br/>
              <w:br/>
              <w:t>(2) Expansion to Related Ecosystems</w:t>
              <w:br/>
              <w:t>The equipment has the potential to be used to map and monitor other critical shoreline habitats and freshwater systems, ensuring that the data collected contributes to a broader understanding of Minnesota’s natural resources.</w:t>
              <w:br/>
              <w:br/>
              <w:t>(3) Educational and Collaborative Use</w:t>
              <w:br/>
              <w:t>The drone may also serve as a tool for engaging local communities, educational institutions, and governmental agencies in environmental stewardship and research, aligning with LCCMR’s goals for public engagement and scientific outreach.</w:t>
              <w:br/>
              <w:br/>
              <w:t>The drone is not a general-use piece of equipment but an essential tool directly tied to the specific goals of this project and the broader environmental monitoring program along the North Shore. Its continued use will ensure that the initial investment provides long-term benefits to Minnesota’s natural resource management efforts. Given the critical role it plays in both the immediate and future success of this work, we seek an explicit exception for its purchase.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$675,000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06ee43cc-1b1.pdf</w:t>
          </w:r>
        </w:hyperlink>
      </w:r>
    </w:p>
    <w:p>
      <w:pPr>
        <w:pStyle w:val="Heading4"/>
        <w:spacing w:before="40" w:after="20"/>
      </w:pPr>
      <w:r>
        <w:rPr>
          <w:b/>
          <w:i/>
          <w:color w:val="000000"/>
          <w:sz w:val="24"/>
        </w:rPr>
        <w:t>Alternate Text for Visual Component</w:t>
      </w:r>
    </w:p>
    <w:p>
      <w:r>
        <w:t>Not just for splashing about, Lake Superior’s rock pools are thriving ecosystems. We aim to develop comprehensive geospatial and biological databases that characterize the importance of these coastal habitats and advocate for their conservation. Especially given they may be crucial nursery and refuge habitats....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National Park Service Letter of Support</w:t>
            </w:r>
          </w:p>
        </w:tc>
        <w:tc>
          <w:tcPr>
            <w:tcW w:type="dxa" w:w="5400"/>
          </w:tcPr>
          <w:p>
            <w:r>
              <w:rPr>
                <w:sz w:val="20"/>
              </w:rPr>
            </w:r>
            <w:r>
              <w:rPr>
                <w:color w:val="000000" w:themeColor="hyperlink"/>
                <w:sz w:val="20"/>
                <w:u w:val="single"/>
              </w:rPr>
              <w:hyperlink r:id="rId13">
                <w:r>
                  <w:rPr/>
                  <w:t>2b3390b1-fdb.pdf</w:t>
                </w:r>
              </w:hyperlink>
            </w:r>
          </w:p>
        </w:tc>
      </w:tr>
      <w:tr>
        <w:tc>
          <w:tcPr>
            <w:tcW w:type="dxa" w:w="5400"/>
          </w:tcPr>
          <w:p>
            <w:r>
              <w:rPr>
                <w:sz w:val="20"/>
              </w:rPr>
              <w:t>Minnesota Children's Press Letter of Support</w:t>
            </w:r>
          </w:p>
        </w:tc>
        <w:tc>
          <w:tcPr>
            <w:tcW w:type="dxa" w:w="5400"/>
          </w:tcPr>
          <w:p>
            <w:r>
              <w:rPr>
                <w:sz w:val="20"/>
              </w:rPr>
            </w:r>
            <w:r>
              <w:rPr>
                <w:color w:val="000000" w:themeColor="hyperlink"/>
                <w:sz w:val="20"/>
                <w:u w:val="single"/>
              </w:rPr>
              <w:hyperlink r:id="rId14">
                <w:r>
                  <w:rPr/>
                  <w:t>e86c21ba-b9b.pdf</w:t>
                </w:r>
              </w:hyperlink>
            </w:r>
          </w:p>
        </w:tc>
      </w:tr>
      <w:tr>
        <w:tc>
          <w:tcPr>
            <w:tcW w:type="dxa" w:w="5400"/>
          </w:tcPr>
          <w:p>
            <w:r>
              <w:rPr>
                <w:sz w:val="20"/>
              </w:rPr>
              <w:t>Science Museum of MN Letter of Support</w:t>
            </w:r>
          </w:p>
        </w:tc>
        <w:tc>
          <w:tcPr>
            <w:tcW w:type="dxa" w:w="5400"/>
          </w:tcPr>
          <w:p>
            <w:r>
              <w:rPr>
                <w:sz w:val="20"/>
              </w:rPr>
            </w:r>
            <w:r>
              <w:rPr>
                <w:color w:val="000000" w:themeColor="hyperlink"/>
                <w:sz w:val="20"/>
                <w:u w:val="single"/>
              </w:rPr>
              <w:hyperlink r:id="rId15">
                <w:r>
                  <w:rPr/>
                  <w:t>1684150b-bd6.pdf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Clarified language surrounding outreach in activity 3 milestones &amp; quality of maps created in activity 1 milestones. </w:t>
        <w:br/>
        <w:t>Milestone 1 activity 1 : Analyze existing LiDAR data and aerial photography to produce preliminary digital maps.  ** Added the word preliminary **</w:t>
        <w:br/>
        <w:t>Milestone 3 activity 1: Develop and launch STEM activities across the NE region and state. ** Switched curriculum to activities **</w:t>
        <w:br/>
        <w:t xml:space="preserve">Recategorized aerial imagery to service contract </w:t>
        <w:br/>
        <w:t xml:space="preserve">Recategorized aerial drone equipment as capital (generally ineligible) and added justification statements </w:t>
        <w:br/>
        <w:t xml:space="preserve">Separated pages charges and children's book fees </w:t>
        <w:br/>
        <w:t xml:space="preserve">Included details on recognizing ENRTF funding in various dissemination efforts </w:t>
        <w:br/>
        <w:t xml:space="preserve">Removed gas allocation from the travel budget, updated to 2025 GSA mileage, lodging, per diem values and added additional persons to activity 2 field efforts </w:t>
        <w:br/>
        <w:t>Included details regarding revenue generation concerns for the children's book to the dissemination section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Mark Edlund, St. Croix Watershed Research Station and Science Museum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6ee43cc-1b1.pdf" TargetMode="External"/><Relationship Id="rId13" Type="http://schemas.openxmlformats.org/officeDocument/2006/relationships/hyperlink" Target="https://lccmrprojectmgmt.leg.mn/media/attachments/2b3390b1-fdb.pdf" TargetMode="External"/><Relationship Id="rId14" Type="http://schemas.openxmlformats.org/officeDocument/2006/relationships/hyperlink" Target="https://lccmrprojectmgmt.leg.mn/media/attachments/e86c21ba-b9b.pdf" TargetMode="External"/><Relationship Id="rId15" Type="http://schemas.openxmlformats.org/officeDocument/2006/relationships/hyperlink" Target="https://lccmrprojectmgmt.leg.mn/media/attachments/1684150b-bd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Superior Shores: Protecting Our Great Lakes Coastal Habitats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