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2025-295</w:t>
      </w:r>
    </w:p>
    <w:p>
      <w:r>
        <w:rPr>
          <w:b/>
        </w:rPr>
        <w:t xml:space="preserve">Staff Lead: </w:t>
      </w:r>
      <w:r>
        <w:t>Noah Fribley</w:t>
      </w:r>
    </w:p>
    <w:p>
      <w:r>
        <w:rPr>
          <w:b/>
        </w:rPr>
        <w:t xml:space="preserve">Date this document submitted to LCCMR: </w:t>
      </w:r>
      <w:r>
        <w:t>June 11, 2025</w:t>
      </w:r>
    </w:p>
    <w:p>
      <w:r>
        <w:rPr>
          <w:b/>
        </w:rPr>
        <w:t xml:space="preserve">Project Title: </w:t>
      </w:r>
      <w:r>
        <w:t>Trialing Climate-Ready Woodland Trees in Urban Areas</w:t>
      </w:r>
    </w:p>
    <w:p>
      <w:r>
        <w:rPr>
          <w:b/>
        </w:rPr>
        <w:t xml:space="preserve">Project Budget: </w:t>
      </w:r>
      <w:r>
        <w:t>$255,000</w:t>
      </w:r>
    </w:p>
    <w:p/>
    <w:p>
      <w:pPr>
        <w:pStyle w:val="Heading2"/>
        <w:spacing w:before="0" w:after="80"/>
      </w:pPr>
      <w:r>
        <w:rPr>
          <w:b/>
          <w:color w:val="2C559C"/>
          <w:sz w:val="28"/>
        </w:rPr>
        <w:t>Project Manager Information</w:t>
      </w:r>
    </w:p>
    <w:p>
      <w:r>
        <w:rPr>
          <w:b/>
        </w:rPr>
        <w:t xml:space="preserve">Name: </w:t>
      </w:r>
      <w:r>
        <w:t>Alicia Coleman</w:t>
      </w:r>
    </w:p>
    <w:p>
      <w:r>
        <w:rPr>
          <w:b/>
        </w:rPr>
        <w:t xml:space="preserve">Organization: </w:t>
      </w:r>
      <w:r>
        <w:t>U of MN - College of Food, Agricultural and Natural Resource Sciences</w:t>
      </w:r>
    </w:p>
    <w:p>
      <w:r>
        <w:rPr>
          <w:b/>
        </w:rPr>
        <w:t xml:space="preserve">Office Telephone: </w:t>
      </w:r>
      <w:r>
        <w:t>(   )    -</w:t>
      </w:r>
    </w:p>
    <w:p>
      <w:r>
        <w:rPr>
          <w:b/>
        </w:rPr>
        <w:t xml:space="preserve">Email: </w:t>
      </w:r>
      <w:r>
        <w:t>aliciac@umn.edu</w:t>
      </w:r>
    </w:p>
    <w:p>
      <w:r>
        <w:rPr>
          <w:b/>
        </w:rPr>
        <w:t xml:space="preserve">Web Address: </w:t>
      </w:r>
      <w:r>
        <w:t>https://cfans.umn.edu/</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03ee</w:t>
      </w:r>
    </w:p>
    <w:p>
      <w:r>
        <w:rPr>
          <w:b/>
        </w:rPr>
        <w:t xml:space="preserve">Appropriation Language: </w:t>
      </w:r>
      <w:r>
        <w:t xml:space="preserve">$255,000 the first year is from the trust fund to the Board of Regents of the University of Minnesota to demonstrate performance of climate-adaptive tree species and study land manager and public perceptions of these species to identify the best species and risk tolerance for future plantings in metropolitan areas of Minnesota.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This project studies climate-adaptive tree species performance across metropolitan areas of Minnesota. This project will recruit volunteers to collect data and will assess volunteers’ risk tolerance of climate-adaptive tree species.</w:t>
      </w:r>
    </w:p>
    <w:p>
      <w:pPr>
        <w:spacing w:after="60"/>
      </w:pPr>
      <w:r>
        <w:rPr>
          <w:b/>
        </w:rPr>
        <w:t>Describe the opportunity or problem your proposal seeks to address. Include any relevant background information.</w:t>
      </w:r>
    </w:p>
    <w:p>
      <w:r>
        <w:t>A number of studies have revealed the ways in which global climate change will affect the forests and woodlands of Minnesota, and these researchers have published experimental protocols to further study how impacts in cities affect broader landscape changes over time (e.g. the North American Adaptive Silviculture for Climate Change, with experimental forest site in Saint Paul). This research has been used by expert groups, like UMN Extension, to develop lists of climate change-adapted tree species for a range of land managers to plant trees that are expected to grow and remain healthy in uncertain futures, including many non-invasive species native to the Southern United States. However, much of this work has not yet occurred in the context of city forests and metropolitan regions, and the survival of climate-adapted trees across core cities and metropolitan areas has not been critically studied. Given the complicated history of pests and pathogens in cities of Minnesota, we also have anecdotal evidence that land managers are resistant to planting too many unusual tree species. Communities of researchers and practitioners would benefit from an empirical understanding of perceived resilience and risk for large-scale tree planting decisions across different cities and urban ecosystems of Minnesota.</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a structured series of tree assessment trials for species carefully selected based on Minnesota's native plant community composition and projected climate suitability. These assessments will help communities identify the species best suited to future urban and forest plantings. This proposal will build on several prior LCCMR investments (e.g. Peter Reich 2020-175e, Metro Blooms 2022-280) as well as new research-based lists of species to maintain productive, healthy, climate-ready woodlands. This proposal seeks to support research that assesses and monitors the dynamics of trees in smaller planting spaces of cities and metropolitan areas across Minnesota, as well as the perceptions towards these tree species by a range of land managers. We would like this research to begin while federal and state investments, as well as general support for the protection and enhancement of urban forest systems, are at an all time high. In 2024, a pilot study is being deployed on the University of Minnesota Saint Paul campus to plant 100 trees from the Climate-Ready Woodlands (CRW) planting list for the Minneapolis-Saint Paul region. We will also invite volunteers to inventory the presence and performance of the same species of trees existing in varying urban properties.</w:t>
      </w:r>
    </w:p>
    <w:p>
      <w:pPr>
        <w:spacing w:after="60"/>
      </w:pPr>
      <w:r>
        <w:rPr>
          <w:b/>
        </w:rPr>
        <w:t xml:space="preserve">What are the specific project outcomes as they relate to the public purpose of protection, conservation, preservation, and enhancement of the state’s natural resources? </w:t>
      </w:r>
    </w:p>
    <w:p>
      <w:r>
        <w:t xml:space="preserve">The project outcomes and purposes relate to the protection, conservation, preservation, and enhancement of Minnesota's forest resources by: </w:t>
        <w:br/>
        <w:t xml:space="preserve">- Understanding land and forest managers’ risk tolerance for lesser known tree species and perceived impacts of tree stewardship </w:t>
        <w:br/>
        <w:t>- Enhancing the species composition and resilience of urban forests across Minnesota by understanding of climate-adapted tree survival characteristics</w:t>
        <w:br/>
        <w:t>- Creating an opportunity for participatory science that elevates the involvement and feedback loops between individuals, organizations, and forestry climate adaptation research</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Recruit Participatory Scientists (Individuals and Organizations) Across Multiple Cities and Ecoregions</w:t>
      </w:r>
    </w:p>
    <w:p>
      <w:r>
        <w:rPr>
          <w:b/>
        </w:rPr>
        <w:t xml:space="preserve">Activity Budget: </w:t>
      </w:r>
      <w:r>
        <w:t>$37,922</w:t>
      </w:r>
    </w:p>
    <w:p>
      <w:r>
        <w:rPr>
          <w:b/>
        </w:rPr>
        <w:t xml:space="preserve">Activity Description: </w:t>
        <w:br/>
      </w:r>
      <w:r>
        <w:t xml:space="preserve">We will establish monitoring plots by recruiting interested government-based urban forest managers as well as through locations identified by “participatory scientists”. We are developing a participatory science data collection app for this project, similar to projects like Terrestrial Invasive Participatory Science (TIPS: https://z.umn.edu/TIPSprojects). High traffic public places will receive fixed durable signage to educate the public about this project and acknowledge LCCMR. </w:t>
        <w:br/>
        <w:br/>
        <w:t>We will compile two separate data sources: (1) the spatially-and species-explicit urban tree inventories available from municipal governments, county governments, park systems, and non-profit organizations. Data acquisition and standardization protocol will follow those generated by the MSP-LTER and USDA Forest Service ; (2) the participatory science data available from the citizen science protocol will also be verified for “research grade” observations and standardized to align with the cleaned urban tree inventory data (lead by Co-PIs Dombeck and Gupta). Once the prevalence of species of interest are identified, the data will be integrated with the received urban tree inventories. Tree species will be assigned a “climate change readiness” index category and supplementary variables related to “typical” urban tree planting locations will be layered through spatial GIS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Refine data collection protocol</w:t>
            </w:r>
          </w:p>
        </w:tc>
        <w:tc>
          <w:tcPr>
            <w:tcW w:type="dxa" w:w="2160"/>
          </w:tcPr>
          <w:p>
            <w:pPr>
              <w:jc w:val="right"/>
            </w:pPr>
            <w:r>
              <w:rPr>
                <w:sz w:val="20"/>
              </w:rPr>
              <w:t>August 31, 2025</w:t>
            </w:r>
          </w:p>
        </w:tc>
      </w:tr>
      <w:tr>
        <w:tc>
          <w:tcPr>
            <w:tcW w:type="dxa" w:w="8640"/>
          </w:tcPr>
          <w:p>
            <w:r>
              <w:rPr>
                <w:sz w:val="20"/>
              </w:rPr>
              <w:t>Determine subsets of tree species from Extensions’ Climate Ready Woodlands lists</w:t>
            </w:r>
          </w:p>
        </w:tc>
        <w:tc>
          <w:tcPr>
            <w:tcW w:type="dxa" w:w="2160"/>
          </w:tcPr>
          <w:p>
            <w:pPr>
              <w:jc w:val="right"/>
            </w:pPr>
            <w:r>
              <w:rPr>
                <w:sz w:val="20"/>
              </w:rPr>
              <w:t>August 31, 2025</w:t>
            </w:r>
          </w:p>
        </w:tc>
      </w:tr>
      <w:tr>
        <w:tc>
          <w:tcPr>
            <w:tcW w:type="dxa" w:w="8640"/>
          </w:tcPr>
          <w:p>
            <w:r>
              <w:rPr>
                <w:sz w:val="20"/>
              </w:rPr>
              <w:t>Produce online content (e.g. website, social media, data collection app)</w:t>
            </w:r>
          </w:p>
        </w:tc>
        <w:tc>
          <w:tcPr>
            <w:tcW w:type="dxa" w:w="2160"/>
          </w:tcPr>
          <w:p>
            <w:pPr>
              <w:jc w:val="right"/>
            </w:pPr>
            <w:r>
              <w:rPr>
                <w:sz w:val="20"/>
              </w:rPr>
              <w:t>August 31, 2025</w:t>
            </w:r>
          </w:p>
        </w:tc>
      </w:tr>
      <w:tr>
        <w:tc>
          <w:tcPr>
            <w:tcW w:type="dxa" w:w="8640"/>
          </w:tcPr>
          <w:p>
            <w:r>
              <w:rPr>
                <w:sz w:val="20"/>
              </w:rPr>
              <w:t>Establish study areas and monitoring locations</w:t>
            </w:r>
          </w:p>
        </w:tc>
        <w:tc>
          <w:tcPr>
            <w:tcW w:type="dxa" w:w="2160"/>
          </w:tcPr>
          <w:p>
            <w:pPr>
              <w:jc w:val="right"/>
            </w:pPr>
            <w:r>
              <w:rPr>
                <w:sz w:val="20"/>
              </w:rPr>
              <w:t>December 31, 2025</w:t>
            </w:r>
          </w:p>
        </w:tc>
      </w:tr>
      <w:tr>
        <w:tc>
          <w:tcPr>
            <w:tcW w:type="dxa" w:w="8640"/>
          </w:tcPr>
          <w:p>
            <w:r>
              <w:rPr>
                <w:sz w:val="20"/>
              </w:rPr>
              <w:t>Install fixed durable signage per the LCCMR's acknowledgement requirement</w:t>
            </w:r>
          </w:p>
        </w:tc>
        <w:tc>
          <w:tcPr>
            <w:tcW w:type="dxa" w:w="2160"/>
          </w:tcPr>
          <w:p>
            <w:pPr>
              <w:jc w:val="right"/>
            </w:pPr>
            <w:r>
              <w:rPr>
                <w:sz w:val="20"/>
              </w:rPr>
              <w:t>May 31, 2026</w:t>
            </w:r>
          </w:p>
        </w:tc>
      </w:tr>
    </w:tbl>
    <w:p/>
    <w:p>
      <w:pPr>
        <w:pStyle w:val="Heading3"/>
        <w:spacing w:after="60"/>
      </w:pPr>
      <w:r>
        <w:rPr>
          <w:b/>
          <w:color w:val="254885"/>
          <w:sz w:val="26"/>
        </w:rPr>
        <w:t>Activity 2: Collect Data And Quantify Climate-Adaptive Urban Tree Survival</w:t>
      </w:r>
    </w:p>
    <w:p>
      <w:r>
        <w:rPr>
          <w:b/>
        </w:rPr>
        <w:t xml:space="preserve">Activity Budget: </w:t>
      </w:r>
      <w:r>
        <w:t>$175,656</w:t>
      </w:r>
    </w:p>
    <w:p>
      <w:r>
        <w:rPr>
          <w:b/>
        </w:rPr>
        <w:t xml:space="preserve">Activity Description: </w:t>
        <w:br/>
      </w:r>
      <w:r>
        <w:t>To begin assessing the performance of “climate ready” tree species across cities and ecoregions of  Minnesota, we intend to select a statistically-robust subsample of tree points across participating partners recruited form Activity 1. Each selected tree will be visited in person once per year and monitored according to the established metrics of the USDA Forest Service (“Urban Tree Monitoring Protocol”, Roman et al. 2017). These measures rely on visual assessment only and document health characteristics, the biophysical environment, and social determinants of planting space (e.g. land use). The metrics/ definitions of this monitoring protocol have already been transcribed into an ESRI Survey 123 form and data collection will be lead by PI Coleman, the Researcher 5, and the undergraduate students; a number of volunteers (e.g. Master Naturalists) will also be trained according to the data collection protocol and will be overseen by Co-PIs Dombeck and Gupta. Annual data will be quantitatively analyzed using inferential statistics most appropriate for the final acquired dataset; the University of Minnesota Statistical Consulting center will be solicited as needed and manuscripts will be prepared to report findings.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Hire and train a range of early career students and professionals to facilitate data collection</w:t>
            </w:r>
          </w:p>
        </w:tc>
        <w:tc>
          <w:tcPr>
            <w:tcW w:type="dxa" w:w="2160"/>
          </w:tcPr>
          <w:p>
            <w:pPr>
              <w:jc w:val="right"/>
            </w:pPr>
            <w:r>
              <w:rPr>
                <w:sz w:val="20"/>
              </w:rPr>
              <w:t>August 31, 2025</w:t>
            </w:r>
          </w:p>
        </w:tc>
      </w:tr>
      <w:tr>
        <w:tc>
          <w:tcPr>
            <w:tcW w:type="dxa" w:w="8640"/>
          </w:tcPr>
          <w:p>
            <w:r>
              <w:rPr>
                <w:sz w:val="20"/>
              </w:rPr>
              <w:t>Maintain a robust participatory science network</w:t>
            </w:r>
          </w:p>
        </w:tc>
        <w:tc>
          <w:tcPr>
            <w:tcW w:type="dxa" w:w="2160"/>
          </w:tcPr>
          <w:p>
            <w:pPr>
              <w:jc w:val="right"/>
            </w:pPr>
            <w:r>
              <w:rPr>
                <w:sz w:val="20"/>
              </w:rPr>
              <w:t>June 30, 2026</w:t>
            </w:r>
          </w:p>
        </w:tc>
      </w:tr>
      <w:tr>
        <w:tc>
          <w:tcPr>
            <w:tcW w:type="dxa" w:w="8640"/>
          </w:tcPr>
          <w:p>
            <w:r>
              <w:rPr>
                <w:sz w:val="20"/>
              </w:rPr>
              <w:t>Collect Data (round 1)</w:t>
            </w:r>
          </w:p>
        </w:tc>
        <w:tc>
          <w:tcPr>
            <w:tcW w:type="dxa" w:w="2160"/>
          </w:tcPr>
          <w:p>
            <w:pPr>
              <w:jc w:val="right"/>
            </w:pPr>
            <w:r>
              <w:rPr>
                <w:sz w:val="20"/>
              </w:rPr>
              <w:t>June 30, 2026</w:t>
            </w:r>
          </w:p>
        </w:tc>
      </w:tr>
      <w:tr>
        <w:tc>
          <w:tcPr>
            <w:tcW w:type="dxa" w:w="8640"/>
          </w:tcPr>
          <w:p>
            <w:r>
              <w:rPr>
                <w:sz w:val="20"/>
              </w:rPr>
              <w:t>Update online content as needed</w:t>
            </w:r>
          </w:p>
        </w:tc>
        <w:tc>
          <w:tcPr>
            <w:tcW w:type="dxa" w:w="2160"/>
          </w:tcPr>
          <w:p>
            <w:pPr>
              <w:jc w:val="right"/>
            </w:pPr>
            <w:r>
              <w:rPr>
                <w:sz w:val="20"/>
              </w:rPr>
              <w:t>June 30, 2026</w:t>
            </w:r>
          </w:p>
        </w:tc>
      </w:tr>
      <w:tr>
        <w:tc>
          <w:tcPr>
            <w:tcW w:type="dxa" w:w="8640"/>
          </w:tcPr>
          <w:p>
            <w:r>
              <w:rPr>
                <w:sz w:val="20"/>
              </w:rPr>
              <w:t>Collect Data (round 2)</w:t>
            </w:r>
          </w:p>
        </w:tc>
        <w:tc>
          <w:tcPr>
            <w:tcW w:type="dxa" w:w="2160"/>
          </w:tcPr>
          <w:p>
            <w:pPr>
              <w:jc w:val="right"/>
            </w:pPr>
            <w:r>
              <w:rPr>
                <w:sz w:val="20"/>
              </w:rPr>
              <w:t>June 30, 2027</w:t>
            </w:r>
          </w:p>
        </w:tc>
      </w:tr>
      <w:tr>
        <w:tc>
          <w:tcPr>
            <w:tcW w:type="dxa" w:w="8640"/>
          </w:tcPr>
          <w:p>
            <w:r>
              <w:rPr>
                <w:sz w:val="20"/>
              </w:rPr>
              <w:t>Prepare manuscripts and presentations to report strategy and results</w:t>
            </w:r>
          </w:p>
        </w:tc>
        <w:tc>
          <w:tcPr>
            <w:tcW w:type="dxa" w:w="2160"/>
          </w:tcPr>
          <w:p>
            <w:pPr>
              <w:jc w:val="right"/>
            </w:pPr>
            <w:r>
              <w:rPr>
                <w:sz w:val="20"/>
              </w:rPr>
              <w:t>June 30, 2027</w:t>
            </w:r>
          </w:p>
        </w:tc>
      </w:tr>
    </w:tbl>
    <w:p/>
    <w:p>
      <w:pPr>
        <w:pStyle w:val="Heading3"/>
        <w:spacing w:after="60"/>
      </w:pPr>
      <w:r>
        <w:rPr>
          <w:b/>
          <w:color w:val="254885"/>
          <w:sz w:val="26"/>
        </w:rPr>
        <w:t>Activity 3: Describe Perceptions of Risk and Resilience: Field Tours and Narrative Interviews</w:t>
      </w:r>
    </w:p>
    <w:p>
      <w:r>
        <w:rPr>
          <w:b/>
        </w:rPr>
        <w:t xml:space="preserve">Activity Budget: </w:t>
      </w:r>
      <w:r>
        <w:t>$41,422</w:t>
      </w:r>
    </w:p>
    <w:p>
      <w:r>
        <w:rPr>
          <w:b/>
        </w:rPr>
        <w:t xml:space="preserve">Activity Description: </w:t>
        <w:br/>
      </w:r>
      <w:r>
        <w:t>There is shared interest to plant climate-ready trees in communities across Minnesota, to monitor their health and performance through their post-planting establishment period, and to infer species mortality and survival based on the species characteristics, the biophysical environment, and social determinants of urban tree stewardship. To synthesize this greater need and broadly contextualize our project, UMN Extension will lead field tours in each participating region that will include a walking and/or driving tour to draw attention to the goals of this project and share initial results. Participants feedback will be documented and incorporated into research results.</w:t>
        <w:br/>
        <w:br/>
        <w:t>Additionally, select volunteers from Samples #1 &amp; 2 will be separately interviewed about their tree stewardship knowledge, risk perceptions, and motivations to mitigate climate change. Consenting adults will be asked to engage in narrative interviews immediately after they submit tree monitoring data. Prompts will be semi-structured and gauged to understand how different land managers perceive the impacts of their stewardship changing their individual property, neighborhood, and wider community. We hope to learn how the care and appraisal of tree stewardship translates to positive or negative attitudes toward tree-based solutions to climate change and the overall role of trees to mitigate climate change.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Identify stakeholder groups across sampling locations</w:t>
            </w:r>
          </w:p>
        </w:tc>
        <w:tc>
          <w:tcPr>
            <w:tcW w:type="dxa" w:w="2160"/>
          </w:tcPr>
          <w:p>
            <w:pPr>
              <w:jc w:val="right"/>
            </w:pPr>
            <w:r>
              <w:rPr>
                <w:sz w:val="20"/>
              </w:rPr>
              <w:t>December 31, 2025</w:t>
            </w:r>
          </w:p>
        </w:tc>
      </w:tr>
      <w:tr>
        <w:tc>
          <w:tcPr>
            <w:tcW w:type="dxa" w:w="8640"/>
          </w:tcPr>
          <w:p>
            <w:r>
              <w:rPr>
                <w:sz w:val="20"/>
              </w:rPr>
              <w:t>Generate site-specific program and talking points for field tours</w:t>
            </w:r>
          </w:p>
        </w:tc>
        <w:tc>
          <w:tcPr>
            <w:tcW w:type="dxa" w:w="2160"/>
          </w:tcPr>
          <w:p>
            <w:pPr>
              <w:jc w:val="right"/>
            </w:pPr>
            <w:r>
              <w:rPr>
                <w:sz w:val="20"/>
              </w:rPr>
              <w:t>June 30, 2026</w:t>
            </w:r>
          </w:p>
        </w:tc>
      </w:tr>
      <w:tr>
        <w:tc>
          <w:tcPr>
            <w:tcW w:type="dxa" w:w="8640"/>
          </w:tcPr>
          <w:p>
            <w:r>
              <w:rPr>
                <w:sz w:val="20"/>
              </w:rPr>
              <w:t>Lead field tours across each region once/ year</w:t>
            </w:r>
          </w:p>
        </w:tc>
        <w:tc>
          <w:tcPr>
            <w:tcW w:type="dxa" w:w="2160"/>
          </w:tcPr>
          <w:p>
            <w:pPr>
              <w:jc w:val="right"/>
            </w:pPr>
            <w:r>
              <w:rPr>
                <w:sz w:val="20"/>
              </w:rPr>
              <w:t>June 30, 2027</w:t>
            </w:r>
          </w:p>
        </w:tc>
      </w:tr>
      <w:tr>
        <w:tc>
          <w:tcPr>
            <w:tcW w:type="dxa" w:w="8640"/>
          </w:tcPr>
          <w:p>
            <w:r>
              <w:rPr>
                <w:sz w:val="20"/>
              </w:rPr>
              <w:t>Conduct interviews and surveys of participants twice/ year</w:t>
            </w:r>
          </w:p>
        </w:tc>
        <w:tc>
          <w:tcPr>
            <w:tcW w:type="dxa" w:w="2160"/>
          </w:tcPr>
          <w:p>
            <w:pPr>
              <w:jc w:val="right"/>
            </w:pPr>
            <w:r>
              <w:rPr>
                <w:sz w:val="20"/>
              </w:rPr>
              <w:t>June 30, 2027</w:t>
            </w:r>
          </w:p>
        </w:tc>
      </w:tr>
      <w:tr>
        <w:tc>
          <w:tcPr>
            <w:tcW w:type="dxa" w:w="8640"/>
          </w:tcPr>
          <w:p>
            <w:r>
              <w:rPr>
                <w:sz w:val="20"/>
              </w:rPr>
              <w:t>Prepare manuscripts and presentations to report strategy and results</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Extension</w:t>
            </w:r>
          </w:p>
        </w:tc>
        <w:tc>
          <w:tcPr>
            <w:tcW w:type="dxa" w:w="1440"/>
          </w:tcPr>
          <w:p>
            <w:r>
              <w:rPr>
                <w:sz w:val="20"/>
              </w:rPr>
              <w:t>University of Minnesota</w:t>
            </w:r>
          </w:p>
        </w:tc>
        <w:tc>
          <w:tcPr>
            <w:tcW w:type="dxa" w:w="6840"/>
          </w:tcPr>
          <w:p>
            <w:r>
              <w:rPr>
                <w:sz w:val="20"/>
              </w:rPr>
              <w:t>Facilitate project outreach, co-lead data management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Dissemination will occur through several outlets: 1) Multiple public-facing presentations at the Minnesota Shade Tree Short Course annual meeting and UMN Extension's Fridays with a Forester webinar series for statewide tree care professionals; 2) One or more academic/professional society presentations to the Society of American Foresters Annual Convention, Association of Natural Resource Professionals, Association of American Geographer's Annual Meeting, and/or the Ecological Society of America; 2) Multiple peer-review manuscripts to inform the scientific community of our approach and findings; 3) Public-facing webpages via UMN Extension and UMN UFOR. All dissemination materials will acknowledge  Environment and Natural Resources Trust Fund through use of the trust fund logo and/or attribution language on project print and electronic media, publications, signage, and other communications per the ENTRF Acknowledgment Guideline</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Initial results can be expected in 2026 and will be announced across peer-reviewed and non-academic communication outlets. UMN Extension, Project Manager Coleman, and the Researcher 5 will critically support the mentorship of participatory scientists and undergraduate researchers. The duration of this study could extend 10+ years if based on academic precedents, so extended support would be funded by internal and external grants. Data reporting, visualization, protocol and websites will continue to exist after the project. Ongoing project support maintains existing resources with minor needs for maintenance. Users of the resources are welcome to continue using them with acknowledgment to LCCMR.</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lead - Alicia Coleman</w:t>
            </w:r>
          </w:p>
        </w:tc>
        <w:tc>
          <w:tcPr>
            <w:tcW w:type="dxa" w:w="1440"/>
          </w:tcPr>
          <w:p>
            <w:r>
              <w:rPr>
                <w:sz w:val="20"/>
              </w:rPr>
            </w:r>
          </w:p>
        </w:tc>
        <w:tc>
          <w:tcPr>
            <w:tcW w:type="dxa" w:w="5472"/>
          </w:tcPr>
          <w:p>
            <w:r>
              <w:rPr>
                <w:sz w:val="20"/>
              </w:rPr>
              <w:t>Lead project deployment, research design and protocol development; Lead data analysis and data management; oversee educational content development</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$50,727</w:t>
            </w:r>
          </w:p>
        </w:tc>
      </w:tr>
      <w:tr>
        <w:tc>
          <w:tcPr>
            <w:tcW w:type="dxa" w:w="864"/>
          </w:tcPr>
          <w:p>
            <w:r>
              <w:rPr>
                <w:sz w:val="20"/>
              </w:rPr>
              <w:t>Project co-lead - Anna Stockstad</w:t>
            </w:r>
          </w:p>
        </w:tc>
        <w:tc>
          <w:tcPr>
            <w:tcW w:type="dxa" w:w="1440"/>
          </w:tcPr>
          <w:p>
            <w:r>
              <w:rPr>
                <w:sz w:val="20"/>
              </w:rPr>
            </w:r>
          </w:p>
        </w:tc>
        <w:tc>
          <w:tcPr>
            <w:tcW w:type="dxa" w:w="5472"/>
          </w:tcPr>
          <w:p>
            <w:r>
              <w:rPr>
                <w:sz w:val="20"/>
              </w:rPr>
              <w:t>Lead field tours, co-facilitate educational content development and participant recruitment</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$1,672</w:t>
            </w:r>
          </w:p>
        </w:tc>
      </w:tr>
      <w:tr>
        <w:tc>
          <w:tcPr>
            <w:tcW w:type="dxa" w:w="864"/>
          </w:tcPr>
          <w:p>
            <w:r>
              <w:rPr>
                <w:sz w:val="20"/>
              </w:rPr>
              <w:t>Project co-lead - Angela Gupta</w:t>
            </w:r>
          </w:p>
        </w:tc>
        <w:tc>
          <w:tcPr>
            <w:tcW w:type="dxa" w:w="1440"/>
          </w:tcPr>
          <w:p>
            <w:r>
              <w:rPr>
                <w:sz w:val="20"/>
              </w:rPr>
            </w:r>
          </w:p>
        </w:tc>
        <w:tc>
          <w:tcPr>
            <w:tcW w:type="dxa" w:w="5472"/>
          </w:tcPr>
          <w:p>
            <w:r>
              <w:rPr>
                <w:sz w:val="20"/>
              </w:rPr>
              <w:t>Co-facilitate participant recruitment, outreach with the ROCs, field tours, and marketing</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$4,387</w:t>
            </w:r>
          </w:p>
        </w:tc>
      </w:tr>
      <w:tr>
        <w:tc>
          <w:tcPr>
            <w:tcW w:type="dxa" w:w="864"/>
          </w:tcPr>
          <w:p>
            <w:r>
              <w:rPr>
                <w:sz w:val="20"/>
              </w:rPr>
              <w:t>Content and marketing lead - Emily Dombeck</w:t>
            </w:r>
          </w:p>
        </w:tc>
        <w:tc>
          <w:tcPr>
            <w:tcW w:type="dxa" w:w="1440"/>
          </w:tcPr>
          <w:p>
            <w:r>
              <w:rPr>
                <w:sz w:val="20"/>
              </w:rPr>
            </w:r>
          </w:p>
        </w:tc>
        <w:tc>
          <w:tcPr>
            <w:tcW w:type="dxa" w:w="5472"/>
          </w:tcPr>
          <w:p>
            <w:r>
              <w:rPr>
                <w:sz w:val="20"/>
              </w:rPr>
              <w:t>Produce education videos and web content, lead marketing</w:t>
            </w:r>
          </w:p>
        </w:tc>
        <w:tc>
          <w:tcPr>
            <w:tcW w:type="dxa" w:w="4032"/>
          </w:tcPr>
          <w:p>
            <w:r>
              <w:rPr>
                <w:sz w:val="20"/>
              </w:rPr>
            </w:r>
          </w:p>
        </w:tc>
        <w:tc>
          <w:tcPr>
            <w:tcW w:type="dxa" w:w="360"/>
          </w:tcPr>
          <w:p>
            <w:r>
              <w:rPr>
                <w:sz w:val="20"/>
              </w:rPr>
            </w:r>
          </w:p>
        </w:tc>
        <w:tc>
          <w:tcPr>
            <w:tcW w:type="dxa" w:w="360"/>
          </w:tcPr>
          <w:p>
            <w:pPr>
              <w:jc w:val="right"/>
            </w:pPr>
            <w:r>
              <w:rPr>
                <w:sz w:val="20"/>
              </w:rPr>
              <w:t>7.7%</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$19,057</w:t>
            </w:r>
          </w:p>
        </w:tc>
      </w:tr>
      <w:tr>
        <w:tc>
          <w:tcPr>
            <w:tcW w:type="dxa" w:w="864"/>
          </w:tcPr>
          <w:p>
            <w:r>
              <w:rPr>
                <w:sz w:val="20"/>
              </w:rPr>
              <w:t>Undergraduate student researchers</w:t>
            </w:r>
          </w:p>
        </w:tc>
        <w:tc>
          <w:tcPr>
            <w:tcW w:type="dxa" w:w="1440"/>
          </w:tcPr>
          <w:p>
            <w:r>
              <w:rPr>
                <w:sz w:val="20"/>
              </w:rPr>
            </w:r>
          </w:p>
        </w:tc>
        <w:tc>
          <w:tcPr>
            <w:tcW w:type="dxa" w:w="5472"/>
          </w:tcPr>
          <w:p>
            <w:r>
              <w:rPr>
                <w:sz w:val="20"/>
              </w:rPr>
              <w:t>Assist evaluation and analysis; co-lead seasonal data collection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5</w:t>
            </w:r>
          </w:p>
        </w:tc>
        <w:tc>
          <w:tcPr>
            <w:tcW w:type="dxa" w:w="360"/>
          </w:tcPr>
          <w:p>
            <w:r>
              <w:rPr>
                <w:sz w:val="20"/>
              </w:rPr>
            </w:r>
          </w:p>
        </w:tc>
        <w:tc>
          <w:tcPr>
            <w:tcW w:type="dxa" w:w="1152"/>
          </w:tcPr>
          <w:p>
            <w:pPr>
              <w:jc w:val="right"/>
            </w:pPr>
            <w:r>
              <w:rPr>
                <w:sz w:val="20"/>
              </w:rPr>
              <w:t>$54,000</w:t>
            </w:r>
          </w:p>
        </w:tc>
      </w:tr>
      <w:tr>
        <w:tc>
          <w:tcPr>
            <w:tcW w:type="dxa" w:w="864"/>
          </w:tcPr>
          <w:p>
            <w:r>
              <w:rPr>
                <w:sz w:val="20"/>
              </w:rPr>
              <w:t>Researcher 5</w:t>
            </w:r>
          </w:p>
        </w:tc>
        <w:tc>
          <w:tcPr>
            <w:tcW w:type="dxa" w:w="1440"/>
          </w:tcPr>
          <w:p>
            <w:r>
              <w:rPr>
                <w:sz w:val="20"/>
              </w:rPr>
            </w:r>
          </w:p>
        </w:tc>
        <w:tc>
          <w:tcPr>
            <w:tcW w:type="dxa" w:w="5472"/>
          </w:tcPr>
          <w:p>
            <w:r>
              <w:rPr>
                <w:sz w:val="20"/>
              </w:rPr>
              <w:t>Co-manage project with Project Manager and Key Personnel, co-lead outreach and data collection</w:t>
            </w:r>
          </w:p>
        </w:tc>
        <w:tc>
          <w:tcPr>
            <w:tcW w:type="dxa" w:w="4032"/>
          </w:tcPr>
          <w:p>
            <w:r>
              <w:rPr>
                <w:sz w:val="20"/>
              </w:rPr>
            </w:r>
          </w:p>
        </w:tc>
        <w:tc>
          <w:tcPr>
            <w:tcW w:type="dxa" w:w="360"/>
          </w:tcPr>
          <w:p>
            <w:r>
              <w:rPr>
                <w:sz w:val="20"/>
              </w:rPr>
            </w:r>
          </w:p>
        </w:tc>
        <w:tc>
          <w:tcPr>
            <w:tcW w:type="dxa" w:w="360"/>
          </w:tcPr>
          <w:p>
            <w:pPr>
              <w:jc w:val="right"/>
            </w:pPr>
            <w:r>
              <w:rPr>
                <w:sz w:val="20"/>
              </w:rPr>
              <w:t>37.1%</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$96,655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$226,498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Food for 11 field tours/ year, running 3 hours/ event, approximately $110/ event</w:t>
            </w:r>
          </w:p>
        </w:tc>
        <w:tc>
          <w:tcPr>
            <w:tcW w:type="dxa" w:w="4032"/>
          </w:tcPr>
          <w:p>
            <w:r>
              <w:rPr>
                <w:sz w:val="20"/>
              </w:rPr>
              <w:t>to conduct Extension-led field tour to train/ education people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tcPr>
          <w:p>
            <w:r>
              <w:rPr>
                <w:sz w:val="20"/>
              </w:rPr>
            </w:r>
          </w:p>
        </w:tc>
        <w:tc>
          <w:tcPr>
            <w:tcW w:type="dxa" w:w="1440"/>
          </w:tcPr>
          <w:p>
            <w:r>
              <w:rPr>
                <w:sz w:val="20"/>
              </w:rPr>
              <w:t>Tools and Supplies</w:t>
            </w:r>
          </w:p>
        </w:tc>
        <w:tc>
          <w:tcPr>
            <w:tcW w:type="dxa" w:w="5472"/>
          </w:tcPr>
          <w:p>
            <w:r>
              <w:rPr>
                <w:sz w:val="20"/>
              </w:rPr>
              <w:t>Demonstration site signage (x11)</w:t>
            </w:r>
          </w:p>
        </w:tc>
        <w:tc>
          <w:tcPr>
            <w:tcW w:type="dxa" w:w="4032"/>
          </w:tcPr>
          <w:p>
            <w:r>
              <w:rPr>
                <w:sz w:val="20"/>
              </w:rPr>
              <w:t>to explain purpose and significance of the project at centrally-located demonstration sites and acknowledge LCCMR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sites, lodging, and per diem for an estimated 100 trips</w:t>
            </w:r>
          </w:p>
        </w:tc>
        <w:tc>
          <w:tcPr>
            <w:tcW w:type="dxa" w:w="4032"/>
          </w:tcPr>
          <w:p>
            <w:r>
              <w:rPr>
                <w:sz w:val="20"/>
              </w:rPr>
              <w:t>"Researchers and Extension staff will need to travel for field tours and data collection approximately 100 times over 2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Food for 11 field tours/ year, running 3 hours/ event, approximately $110/ event</w:t>
            </w:r>
          </w:p>
        </w:tc>
        <w:tc>
          <w:tcPr>
            <w:tcW w:type="dxa" w:w="7560"/>
          </w:tcPr>
          <w:p>
            <w:r>
              <w:rPr>
                <w:sz w:val="20"/>
              </w:rPr>
              <w:t>a total of 22 events will serve food and refreshments reasonable and proportionate to the type of event being held.</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p>
      <w:r>
        <w:rPr>
          <w:b/>
        </w:rPr>
        <w:t>Total Project Cost: $255,000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f31dc9d8-d0e.pdf</w:t>
          </w:r>
        </w:hyperlink>
      </w:r>
    </w:p>
    <w:p>
      <w:pPr>
        <w:pStyle w:val="Heading4"/>
        <w:spacing w:before="40" w:after="20"/>
      </w:pPr>
      <w:r>
        <w:rPr>
          <w:b/>
          <w:i/>
          <w:color w:val="000000"/>
          <w:sz w:val="24"/>
        </w:rPr>
        <w:t>Alternate Text for Visual Component</w:t>
      </w:r>
    </w:p>
    <w:p>
      <w:r>
        <w:t>Imaged are Southern tree species unusual to MN and locations on the UMN Saint Paul Ag. Experiment Station where new trees will be trialed as part of the proposed study. Another image depicts the expected climate change conditions are are similar between urban and wildlands-rural forests....</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of Regents of the University of Minnesota</w:t>
            </w:r>
          </w:p>
        </w:tc>
        <w:tc>
          <w:tcPr>
            <w:tcW w:type="dxa" w:w="5400"/>
          </w:tcPr>
          <w:p>
            <w:r>
              <w:rPr>
                <w:sz w:val="20"/>
              </w:rPr>
            </w:r>
            <w:r>
              <w:rPr>
                <w:color w:val="000000" w:themeColor="hyperlink"/>
                <w:sz w:val="20"/>
                <w:u w:val="single"/>
              </w:rPr>
              <w:hyperlink r:id="rId13">
                <w:r>
                  <w:rPr/>
                  <w:t>032ed18b-4fa.pdf</w:t>
                </w:r>
              </w:hyperlink>
            </w:r>
          </w:p>
        </w:tc>
      </w:tr>
      <w:tr>
        <w:tc>
          <w:tcPr>
            <w:tcW w:type="dxa" w:w="5400"/>
          </w:tcPr>
          <w:p>
            <w:r>
              <w:rPr>
                <w:sz w:val="20"/>
              </w:rPr>
              <w:t>2025-295 Research Addendum revised_final</w:t>
            </w:r>
          </w:p>
        </w:tc>
        <w:tc>
          <w:tcPr>
            <w:tcW w:type="dxa" w:w="5400"/>
          </w:tcPr>
          <w:p>
            <w:r>
              <w:rPr>
                <w:sz w:val="20"/>
              </w:rPr>
            </w:r>
            <w:r>
              <w:rPr>
                <w:color w:val="000000" w:themeColor="hyperlink"/>
                <w:sz w:val="20"/>
                <w:u w:val="single"/>
              </w:rPr>
              <w:hyperlink r:id="rId14">
                <w:r>
                  <w:rPr/>
                  <w:t>73a7e3c0-2e8.pdf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Project Location was updated; Dissemination activities were expanded; Activities and Milestones were updated based on peer-review suggestions; Budget was updated based on revised Activities and Milestones and as requested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UMN Policy on travel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Amber Kevelin and Kelsey Grachek, University of Minnesota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31dc9d8-d0e.pdf" TargetMode="External"/><Relationship Id="rId13" Type="http://schemas.openxmlformats.org/officeDocument/2006/relationships/hyperlink" Target="https://lccmrprojectmgmt.leg.mn/media/attachments/032ed18b-4fa.pdf" TargetMode="External"/><Relationship Id="rId14" Type="http://schemas.openxmlformats.org/officeDocument/2006/relationships/hyperlink" Target="https://lccmrprojectmgmt.leg.mn/media/attachments/73a7e3c0-2e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Trialing Climate-Ready Woodland Trees in Urban Areas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