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2025-278</w:t>
      </w:r>
    </w:p>
    <w:p>
      <w:r>
        <w:rPr>
          <w:b/>
        </w:rPr>
        <w:t xml:space="preserve">Staff Lead: </w:t>
      </w:r>
      <w:r>
        <w:t>Lisa Bigaouette</w:t>
      </w:r>
    </w:p>
    <w:p>
      <w:r>
        <w:rPr>
          <w:b/>
        </w:rPr>
        <w:t xml:space="preserve">Date this document submitted to LCCMR: </w:t>
      </w:r>
      <w:r>
        <w:t>June 11, 2025</w:t>
      </w:r>
    </w:p>
    <w:p>
      <w:r>
        <w:rPr>
          <w:b/>
        </w:rPr>
        <w:t xml:space="preserve">Project Title: </w:t>
      </w:r>
      <w:r>
        <w:t>Recovering Salts from Highly Saline Wastewater</w:t>
      </w:r>
    </w:p>
    <w:p>
      <w:r>
        <w:rPr>
          <w:b/>
        </w:rPr>
        <w:t xml:space="preserve">Project Budget: </w:t>
      </w:r>
      <w:r>
        <w:t>$272,000</w:t>
      </w:r>
    </w:p>
    <w:p/>
    <w:p>
      <w:pPr>
        <w:pStyle w:val="Heading2"/>
        <w:spacing w:before="0" w:after="80"/>
      </w:pPr>
      <w:r>
        <w:rPr>
          <w:b/>
          <w:color w:val="2C559C"/>
          <w:sz w:val="28"/>
        </w:rPr>
        <w:t>Project Manager Information</w:t>
      </w:r>
    </w:p>
    <w:p>
      <w:r>
        <w:rPr>
          <w:b/>
        </w:rPr>
        <w:t xml:space="preserve">Name: </w:t>
      </w:r>
      <w:r>
        <w:t>Natasha Wright</w:t>
      </w:r>
    </w:p>
    <w:p>
      <w:r>
        <w:rPr>
          <w:b/>
        </w:rPr>
        <w:t xml:space="preserve">Organization: </w:t>
      </w:r>
      <w:r>
        <w:t>U of MN - College of Science and Engineering</w:t>
      </w:r>
    </w:p>
    <w:p>
      <w:r>
        <w:rPr>
          <w:b/>
        </w:rPr>
        <w:t xml:space="preserve">Office Telephone: </w:t>
      </w:r>
      <w:r>
        <w:t>(612) 626-2667</w:t>
      </w:r>
    </w:p>
    <w:p>
      <w:r>
        <w:rPr>
          <w:b/>
        </w:rPr>
        <w:t xml:space="preserve">Email: </w:t>
      </w:r>
      <w:r>
        <w:t>natasha@umn.edu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04w</w:t>
      </w:r>
    </w:p>
    <w:p>
      <w:r>
        <w:rPr>
          <w:b/>
        </w:rPr>
        <w:t xml:space="preserve">Appropriation Language: </w:t>
      </w:r>
      <w:r>
        <w:t xml:space="preserve">$272,000 the first year is from the trust fund to the Board of Regents of the University of Minnesota to develop a method to recover useful salts from concentrated saline wastewater to increase the economic sustainability of high water-recovery softening, sulfate removal, and industrial wastewater treatment.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aim to develop a method of recovering useful salts from concentrated saline waste, increasing the economic sustainability of high water-recovery softening, sulfate removal, and industrial wastewater treatment.</w:t>
      </w:r>
    </w:p>
    <w:p>
      <w:pPr>
        <w:spacing w:after="60"/>
      </w:pPr>
      <w:r>
        <w:rPr>
          <w:b/>
        </w:rPr>
        <w:t>Describe the opportunity or problem your proposal seeks to address. Include any relevant background information.</w:t>
      </w:r>
    </w:p>
    <w:p>
      <w:r>
        <w:t>Levels of chloride and sulfate (both salts) in Minnesota waterways is a concern due to the potential for harm to aquatic life (chloride) and the quality of water used for growing wild rice (sulfate). These impacts are the result of linear systems in which resources are extracted, used, and disposed of as waste.</w:t>
        <w:br/>
        <w:br/>
        <w:t xml:space="preserve">Increased chloride comes from a variety of sources including the salt used for winter road maintenance, water softeners, industry, and agriculture. Sulfate also has multiple sources to surface water, including industrial and domestic waste, and use of groundwater for agricultural, industrial, and domestic needs. Because water treatment plants are not equipped with the technology to remove dissolved salts, chloride and sulfate entering these facilities discharge to waterways. </w:t>
        <w:br/>
        <w:br/>
        <w:t>An opportunity exists to reduce this discharge to waterways by installing advanced water treatment technology (such as reverse osmosis, RO). Doing so, however, would result in a liquid waste stream (brine) that contains all the removed contaminants in highly concentrated form. Treating and disposing of this brine is expensive. An ENTRF-funded report indicates that brine management would represent &gt;46% of the total capital cost and &gt;81% of the operational cost of newly installed RO systems at sample sites (MPCA, 2018).</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Existing brine management systems are linear; they do not consider the potential useful recovery and reuse of the original salt inputs. We propose to push this linear system to become a circular system, one that aims to keep resources in use for as long as possible, minimizing waste and degradation of the environment. </w:t>
        <w:br/>
        <w:br/>
        <w:t>Our previous ENTRF-funded project explored the use of convection enhanced evaporation (CEE) to reduce the capital and energetic cost of brine management in Minnesota. The system uses packed surfaces to increase the evaporative surface area for a given area of land by &gt;50x. We have modeled and experimentally validated the evaporative performance of the CEE system. As water evaporates from the surfaces, the remaining brine becomes “supersaturated” increasing the tendency of salts to crystallize. This has historically been viewed as a maintenance problem that leads to expensive chemical clean-in-place procedures, but what if this didn’t have to be the case? In this proposal, we expand on our previous work to consider the intentional crystallization of salts when and where we want them to crystallize, for the purpose of useful recovery.</w:t>
      </w:r>
    </w:p>
    <w:p>
      <w:pPr>
        <w:spacing w:after="60"/>
      </w:pPr>
      <w:r>
        <w:rPr>
          <w:b/>
        </w:rPr>
        <w:t xml:space="preserve">What are the specific project outcomes as they relate to the public purpose of protection, conservation, preservation, and enhancement of the state’s natural resources? </w:t>
      </w:r>
    </w:p>
    <w:p>
      <w:r>
        <w:t>In this proposal, we aim to understand salt crystallization in mixed-salt brines as the next step in achieving our long-term objective of sustainable, circular, systems for managing brine from industrial sources and advanced water treatment plants. This could allow for: (i) reduced discharge of salts to the environment, (ii) on-site recovery of salts for reuse, and (iii) reduced concentration of sparingly soluble salts in the primary water treatment train (e.g. RO), enabling higher water recovery. All three of these potential outcomes would serve to reduce the extraction of water and/or salts, and move Minnesota toward a circular economy.</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validate a model that couples the behavior of salt crystallization with that of concentrating saline water.</w:t>
      </w:r>
    </w:p>
    <w:p>
      <w:r>
        <w:rPr>
          <w:b/>
        </w:rPr>
        <w:t xml:space="preserve">Activity Budget: </w:t>
      </w:r>
      <w:r>
        <w:t>$129,946</w:t>
      </w:r>
    </w:p>
    <w:p>
      <w:r>
        <w:rPr>
          <w:b/>
        </w:rPr>
        <w:t xml:space="preserve">Activity Description: </w:t>
        <w:br/>
      </w:r>
      <w:r>
        <w:t xml:space="preserve">The extent of crystallization for a specific salt mixture depends on both thermodynamic behavior (e.g. saturation indices at a specific temperature) and kinetic behavior (e.g. nucleation rate and crystal growth at a specific time). In on-going work, our team is developing and validating a model that couples these temperature- and time-dependent behaviors of crystallization for relevant salts (e.g. CaSO4 / gypsum, CaCO3 / calcite), at static temperatures and concentrations. As water is removed from brine in a concentrator, however, the remaining brine becomes even saltier, increasing the tendency of salts to crystallize. </w:t>
        <w:br/>
        <w:br/>
        <w:t>In this activity, we aim to couple the temperature- and time-dependent crystallization models currently being developed in the lab with our existing models for brine concentration, to predict the rate of salt crystallization in brine reduction technologies. To validate the integrated model, we will conduct bench-top experiments in which we precisely control the rate of brine concentration, for example using vacuum pumps, in a Stage 1 “Concentrator;” and then pass the brine to a Stage 2 “Crystallizer” where the salts will be allowed to crystalize. The system will operate in a batch mode such that brine leaving the Crystallizer will return to the Concentrator for further processing.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Crystallization model coupled with existing concentration model (e.g. CEE, membrane).</w:t>
            </w:r>
          </w:p>
        </w:tc>
        <w:tc>
          <w:tcPr>
            <w:tcW w:type="dxa" w:w="2160"/>
          </w:tcPr>
          <w:p>
            <w:pPr>
              <w:jc w:val="right"/>
            </w:pPr>
            <w:r>
              <w:rPr>
                <w:sz w:val="20"/>
              </w:rPr>
              <w:t>June 30, 2026</w:t>
            </w:r>
          </w:p>
        </w:tc>
      </w:tr>
      <w:tr>
        <w:tc>
          <w:tcPr>
            <w:tcW w:type="dxa" w:w="8640"/>
          </w:tcPr>
          <w:p>
            <w:r>
              <w:rPr>
                <w:sz w:val="20"/>
              </w:rPr>
              <w:t>Experimental validation of crystallization model assuming homogeneous nucleation and crystal growth (without a surface).</w:t>
            </w:r>
          </w:p>
        </w:tc>
        <w:tc>
          <w:tcPr>
            <w:tcW w:type="dxa" w:w="2160"/>
          </w:tcPr>
          <w:p>
            <w:pPr>
              <w:jc w:val="right"/>
            </w:pPr>
            <w:r>
              <w:rPr>
                <w:sz w:val="20"/>
              </w:rPr>
              <w:t>December 31, 2026</w:t>
            </w:r>
          </w:p>
        </w:tc>
      </w:tr>
      <w:tr>
        <w:tc>
          <w:tcPr>
            <w:tcW w:type="dxa" w:w="8640"/>
          </w:tcPr>
          <w:p>
            <w:r>
              <w:rPr>
                <w:sz w:val="20"/>
              </w:rPr>
              <w:t>Experimental validation of crystallization model assuming heterogeneous nucleation and crystal growth (with a surface present).</w:t>
            </w:r>
          </w:p>
        </w:tc>
        <w:tc>
          <w:tcPr>
            <w:tcW w:type="dxa" w:w="2160"/>
          </w:tcPr>
          <w:p>
            <w:pPr>
              <w:jc w:val="right"/>
            </w:pPr>
            <w:r>
              <w:rPr>
                <w:sz w:val="20"/>
              </w:rPr>
              <w:t>June 30, 2027</w:t>
            </w:r>
          </w:p>
        </w:tc>
      </w:tr>
    </w:tbl>
    <w:p/>
    <w:p>
      <w:pPr>
        <w:pStyle w:val="Heading3"/>
        <w:spacing w:after="60"/>
      </w:pPr>
      <w:r>
        <w:rPr>
          <w:b/>
          <w:color w:val="254885"/>
          <w:sz w:val="26"/>
        </w:rPr>
        <w:t>Activity 2: Demonstrate the proposed two-stage concentration-crystallization system using commercially available concentration technology.</w:t>
      </w:r>
    </w:p>
    <w:p>
      <w:r>
        <w:rPr>
          <w:b/>
        </w:rPr>
        <w:t xml:space="preserve">Activity Budget: </w:t>
      </w:r>
      <w:r>
        <w:t>$142,054</w:t>
      </w:r>
    </w:p>
    <w:p>
      <w:r>
        <w:rPr>
          <w:b/>
        </w:rPr>
        <w:t xml:space="preserve">Activity Description: </w:t>
        <w:br/>
      </w:r>
      <w:r>
        <w:t>We will extend the work in Activity 1 to accommodate commercially available, off-the-shelf, brine concentration technology. In order to do so, we will first work to understand the relative benefit of the proposed two-stage technique for membrane distillation (MD), convection-enhanced evaporation (CEE), and electrodialysis (ED) technologies. All three of these technologies have been used in the “real world” for brine concentration but currently reach practical limits regarding their ability to handle crystallization on the relevant surface (i.e., membranes in the case of MD and ED, evaporation tray in the case of CEE). Based on the initial feasibility study of Activity 1, and the predicted ideal residence time in the Stage 1 Concentrator and Stage 2 Crystallizer, one of the three technologies will be selected as the ideal candidate for further testing and refinement of the process. A bench-scale setup will be constructed for the chosen technology. We will filter and analyze the formed crystals in terms of their composition and size. The crystal mass formed on the substrate will be compared with the modeled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Conceptual framework developed for two-stage concentrator + crystallizer system and most viable technology option selected.</w:t>
            </w:r>
          </w:p>
        </w:tc>
        <w:tc>
          <w:tcPr>
            <w:tcW w:type="dxa" w:w="2160"/>
          </w:tcPr>
          <w:p>
            <w:pPr>
              <w:jc w:val="right"/>
            </w:pPr>
            <w:r>
              <w:rPr>
                <w:sz w:val="20"/>
              </w:rPr>
              <w:t>September 30, 2027</w:t>
            </w:r>
          </w:p>
        </w:tc>
      </w:tr>
      <w:tr>
        <w:tc>
          <w:tcPr>
            <w:tcW w:type="dxa" w:w="8640"/>
          </w:tcPr>
          <w:p>
            <w:r>
              <w:rPr>
                <w:sz w:val="20"/>
              </w:rPr>
              <w:t>Construction of bench-scale two-stage concentrator + crystallizer system.</w:t>
            </w:r>
          </w:p>
        </w:tc>
        <w:tc>
          <w:tcPr>
            <w:tcW w:type="dxa" w:w="2160"/>
          </w:tcPr>
          <w:p>
            <w:pPr>
              <w:jc w:val="right"/>
            </w:pPr>
            <w:r>
              <w:rPr>
                <w:sz w:val="20"/>
              </w:rPr>
              <w:t>December 31, 2027</w:t>
            </w:r>
          </w:p>
        </w:tc>
      </w:tr>
      <w:tr>
        <w:tc>
          <w:tcPr>
            <w:tcW w:type="dxa" w:w="8640"/>
          </w:tcPr>
          <w:p>
            <w:r>
              <w:rPr>
                <w:sz w:val="20"/>
              </w:rPr>
              <w:t>Experimental results from two-stage concentrator + crystallizer system summarized and compared to modeled predictions.</w:t>
            </w:r>
          </w:p>
        </w:tc>
        <w:tc>
          <w:tcPr>
            <w:tcW w:type="dxa" w:w="2160"/>
          </w:tcPr>
          <w:p>
            <w:pPr>
              <w:jc w:val="right"/>
            </w:pPr>
            <w:r>
              <w:rPr>
                <w:sz w:val="20"/>
              </w:rPr>
              <w:t>March 31, 2028</w:t>
            </w:r>
          </w:p>
        </w:tc>
      </w:tr>
      <w:tr>
        <w:tc>
          <w:tcPr>
            <w:tcW w:type="dxa" w:w="8640"/>
          </w:tcPr>
          <w:p>
            <w:r>
              <w:rPr>
                <w:sz w:val="20"/>
              </w:rPr>
              <w:t>Findings summarized with initial assessment of real world application for the proposed concentrator-crystallizer configuration.</w:t>
            </w:r>
          </w:p>
        </w:tc>
        <w:tc>
          <w:tcPr>
            <w:tcW w:type="dxa" w:w="2160"/>
          </w:tcPr>
          <w:p>
            <w:pPr>
              <w:jc w:val="right"/>
            </w:pPr>
            <w:r>
              <w:rPr>
                <w:sz w:val="20"/>
              </w:rPr>
              <w:t>June 30, 2028</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target audience for results from this research will be engineers and scientists in academia, professionals in the area of desalination and water treatment, city managers and other local government officials, industry and trade organization personnel (for example, the Minnesota Pollution Control Agency and Metropolitan Council Environmental Services (MCES)). Results will be disseminated through scholarly publications in peer-reviewed journals. Funds have been allotted in the budget such that results can be published in open access journals whenever possible, maximizing data availability and dissemination. Results from the research project will also be presented at regional conferences such as the Conference on the Environment or the American Water Works Association: Minnesota Section Annual Conference.</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pursue National-scale funding for this project through the Bureau of Reclamation, a federal agency particularly interested in saline brine management. This agency has previously supported our field testing of convection enhanced evaporation (CEE) systems and is currently supporting our fundamental work on crystallization kinetics. We also hope to work with a team at the Carlson School of Management to determine realistic value propositions for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Managing Highly Saline Waste From Municipal Water Treatment</w:t>
            </w:r>
          </w:p>
        </w:tc>
        <w:tc>
          <w:tcPr>
            <w:tcW w:type="dxa" w:w="4680"/>
          </w:tcPr>
          <w:p>
            <w:r>
              <w:rPr>
                <w:sz w:val="20"/>
              </w:rPr>
              <w:t>M.L. 2021, First Special Session, Chp. 6, Art. 5, Sec. 2, Subd. 04a</w:t>
            </w:r>
          </w:p>
        </w:tc>
        <w:tc>
          <w:tcPr>
            <w:tcW w:type="dxa" w:w="1440"/>
          </w:tcPr>
          <w:p>
            <w:pPr>
              <w:jc w:val="right"/>
            </w:pPr>
            <w:r>
              <w:rPr>
                <w:sz w:val="20"/>
              </w:rPr>
              <w:t>$250,000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coordination, guide development of model extension, supervise graduate student. 1 month/year, 3 years, including UMN rate of 37.1% benefits.</w:t>
            </w:r>
          </w:p>
        </w:tc>
        <w:tc>
          <w:tcPr>
            <w:tcW w:type="dxa" w:w="4032"/>
          </w:tcPr>
          <w:p>
            <w:r>
              <w:rPr>
                <w:sz w:val="20"/>
              </w:rPr>
            </w:r>
          </w:p>
        </w:tc>
        <w:tc>
          <w:tcPr>
            <w:tcW w:type="dxa" w:w="360"/>
          </w:tcPr>
          <w:p>
            <w:r>
              <w:rPr>
                <w:sz w:val="20"/>
              </w:rPr>
            </w:r>
          </w:p>
        </w:tc>
        <w:tc>
          <w:tcPr>
            <w:tcW w:type="dxa" w:w="360"/>
          </w:tcPr>
          <w:p>
            <w:pPr>
              <w:jc w:val="right"/>
            </w:pPr>
            <w:r>
              <w:rPr>
                <w:sz w:val="20"/>
              </w:rPr>
              <w:t>27.1%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$51,705</w:t>
            </w:r>
          </w:p>
        </w:tc>
      </w:tr>
      <w:tr>
        <w:tc>
          <w:tcPr>
            <w:tcW w:type="dxa" w:w="864"/>
          </w:tcPr>
          <w:p>
            <w:r>
              <w:rPr>
                <w:sz w:val="20"/>
              </w:rPr>
              <w:t>Graduate Research Assistant</w:t>
            </w:r>
          </w:p>
        </w:tc>
        <w:tc>
          <w:tcPr>
            <w:tcW w:type="dxa" w:w="1440"/>
          </w:tcPr>
          <w:p>
            <w:r>
              <w:rPr>
                <w:sz w:val="20"/>
              </w:rPr>
            </w:r>
          </w:p>
        </w:tc>
        <w:tc>
          <w:tcPr>
            <w:tcW w:type="dxa" w:w="5472"/>
          </w:tcPr>
          <w:p>
            <w:r>
              <w:rPr>
                <w:sz w:val="20"/>
              </w:rPr>
              <w:t>Analytical model extension, experimental testing, data synthesis. Includes UMN rate of 25.1% benefits plus tuition.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$183,155</w:t>
            </w:r>
          </w:p>
        </w:tc>
      </w:tr>
      <w:tr>
        <w:tc>
          <w:tcPr>
            <w:tcW w:type="dxa" w:w="864"/>
          </w:tcPr>
          <w:p>
            <w:r>
              <w:rPr>
                <w:sz w:val="20"/>
              </w:rPr>
              <w:t>Undergraduate Researcher</w:t>
            </w:r>
          </w:p>
        </w:tc>
        <w:tc>
          <w:tcPr>
            <w:tcW w:type="dxa" w:w="1440"/>
          </w:tcPr>
          <w:p>
            <w:r>
              <w:rPr>
                <w:sz w:val="20"/>
              </w:rPr>
            </w:r>
          </w:p>
        </w:tc>
        <w:tc>
          <w:tcPr>
            <w:tcW w:type="dxa" w:w="5472"/>
          </w:tcPr>
          <w:p>
            <w:r>
              <w:rPr>
                <w:sz w:val="20"/>
              </w:rPr>
              <w:t>Assist with experimental data collection. 1 students for 5 hours/wk at $16/hr over 2 years.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$8,320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$243,180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UMN has internal scientific characterization facilities at the "CharFac." The facility charges an hour rate of $88.40/hr for use of the Transmission Electron Microscope and $34.10/hr for use of the X-ray Diffraction equipment. Total estimate based on an average hourly rate and 80 hours of use.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Prototyping materials, consumable supplies, sensors and data acquisition equipment, required for analyses and experiments</w:t>
            </w:r>
          </w:p>
        </w:tc>
        <w:tc>
          <w:tcPr>
            <w:tcW w:type="dxa" w:w="4032"/>
          </w:tcPr>
          <w:p>
            <w:r>
              <w:rPr>
                <w:sz w:val="20"/>
              </w:rPr>
              <w:t>Tools and supplies required to experimentally validate the salt crystallization models.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$15,820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$15,820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Attendance at local MN water conferences for program manager and graduate student (2 people). Possible conferences include the Minnesota Water Resources Conference, or the Minnesota Rural Water and Wastewater Technical Conferences.</w:t>
            </w:r>
          </w:p>
        </w:tc>
        <w:tc>
          <w:tcPr>
            <w:tcW w:type="dxa" w:w="4032"/>
          </w:tcPr>
          <w:p>
            <w:r>
              <w:rPr>
                <w:sz w:val="20"/>
              </w:rPr>
              <w:t>Formal presentation of project findings to local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person (program manager or graduate student); flight, 3 nights hotel, conference registration.</w:t>
            </w:r>
          </w:p>
        </w:tc>
        <w:tc>
          <w:tcPr>
            <w:tcW w:type="dxa" w:w="4032"/>
          </w:tcPr>
          <w:p>
            <w:r>
              <w:rPr>
                <w:sz w:val="20"/>
              </w:rPr>
              <w:t>Formal presentation of project findings at a water treatment conference outside of MN. Combined academic and industry conferences are critical to student learning, networking, and building future collaborations toward technology translation.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Publications charges (x2)</w:t>
            </w:r>
          </w:p>
        </w:tc>
        <w:tc>
          <w:tcPr>
            <w:tcW w:type="dxa" w:w="4032"/>
          </w:tcPr>
          <w:p>
            <w:r>
              <w:rPr>
                <w:sz w:val="20"/>
              </w:rPr>
              <w:t>To make published journal articles immediately available via open access to maximize data availability and dissemination.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1 person (program manager or graduate student); flight, 3 nights hotel, conference registration.</w:t>
            </w:r>
          </w:p>
        </w:tc>
        <w:tc>
          <w:tcPr>
            <w:tcW w:type="dxa" w:w="7560"/>
          </w:tcPr>
          <w:p>
            <w:r>
              <w:rPr>
                <w:sz w:val="20"/>
              </w:rPr>
              <w:t>Attendance at US-based conferenced for formal presentation of project findings.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Because the project is overhead free, laboratory space, electricity, and other facilities/administrative costs (55% of direct costs excluding permanent equipment and graduate student tuition benefits) are provided in-kind.</w:t>
            </w:r>
          </w:p>
        </w:tc>
        <w:tc>
          <w:tcPr>
            <w:tcW w:type="dxa" w:w="1080"/>
          </w:tcPr>
          <w:p>
            <w:r>
              <w:rPr>
                <w:sz w:val="20"/>
              </w:rPr>
              <w:t>Secured</w:t>
            </w:r>
          </w:p>
        </w:tc>
        <w:tc>
          <w:tcPr>
            <w:tcW w:type="dxa" w:w="1440"/>
          </w:tcPr>
          <w:p>
            <w:pPr>
              <w:jc w:val="right"/>
            </w:pPr>
            <w:r>
              <w:rPr>
                <w:sz w:val="20"/>
              </w:rPr>
              <w:t>$119,884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$119,884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$119,884</w:t>
            </w:r>
          </w:p>
        </w:tc>
      </w:tr>
    </w:tbl>
    <w:p/>
    <w:p>
      <w:r>
        <w:rPr>
          <w:b/>
        </w:rPr>
        <w:t>Total Project Cost: $391,884</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6030c44d-222.pdf</w:t>
          </w:r>
        </w:hyperlink>
      </w:r>
    </w:p>
    <w:p>
      <w:pPr>
        <w:pStyle w:val="Heading4"/>
        <w:spacing w:before="40" w:after="20"/>
      </w:pPr>
      <w:r>
        <w:rPr>
          <w:b/>
          <w:i/>
          <w:color w:val="000000"/>
          <w:sz w:val="24"/>
        </w:rPr>
        <w:t>Alternate Text for Visual Component</w:t>
      </w:r>
    </w:p>
    <w:p>
      <w:r>
        <w:t>The figure shows the difference between linear systems, in which a resources (salt) is used for an industrial process and then discharged to waterways, vs. a circular system, in which the same resource is used and then recovered during the brine treatment step, limiting discharge to waterways....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Letter of Support from Sponsored Projects Administration</w:t>
            </w:r>
          </w:p>
        </w:tc>
        <w:tc>
          <w:tcPr>
            <w:tcW w:type="dxa" w:w="5400"/>
          </w:tcPr>
          <w:p>
            <w:r>
              <w:rPr>
                <w:sz w:val="20"/>
              </w:rPr>
            </w:r>
            <w:r>
              <w:rPr>
                <w:color w:val="000000" w:themeColor="hyperlink"/>
                <w:sz w:val="20"/>
                <w:u w:val="single"/>
              </w:rPr>
              <w:hyperlink r:id="rId13">
                <w:r>
                  <w:rPr/>
                  <w:t>1c2b6d9c-d3e.pdf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Dissemination efforts were added. </w:t>
        <w:br/>
        <w:t xml:space="preserve">Project location and status update schedules were confirmed. </w:t>
        <w:br/>
        <w:t>Minor text edits (&lt;10 words total) were made for clarity.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030c44d-222.pdf" TargetMode="External"/><Relationship Id="rId13" Type="http://schemas.openxmlformats.org/officeDocument/2006/relationships/hyperlink" Target="https://lccmrprojectmgmt.leg.mn/media/attachments/1c2b6d9c-d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Recovering Salts from Highly Saline Wastewater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