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2025-268</w:t>
      </w:r>
    </w:p>
    <w:p>
      <w:r>
        <w:rPr>
          <w:b/>
        </w:rPr>
        <w:t xml:space="preserve">Staff Lead: </w:t>
      </w:r>
      <w:r>
        <w:t>Mike Campana</w:t>
      </w:r>
    </w:p>
    <w:p>
      <w:r>
        <w:rPr>
          <w:b/>
        </w:rPr>
        <w:t xml:space="preserve">Date this document submitted to LCCMR: </w:t>
      </w:r>
      <w:r>
        <w:t>June 5, 2025</w:t>
      </w:r>
    </w:p>
    <w:p>
      <w:r>
        <w:rPr>
          <w:b/>
        </w:rPr>
        <w:t xml:space="preserve">Project Title: </w:t>
      </w:r>
      <w:r>
        <w:t>Enhancing Preservation and Accessibility at Hawk Ridge Nature Reserve</w:t>
      </w:r>
    </w:p>
    <w:p>
      <w:r>
        <w:rPr>
          <w:b/>
        </w:rPr>
        <w:t xml:space="preserve">Project Budget: </w:t>
      </w:r>
      <w:r>
        <w:t>$155,000</w:t>
      </w:r>
    </w:p>
    <w:p/>
    <w:p>
      <w:pPr>
        <w:pStyle w:val="Heading2"/>
        <w:spacing w:before="0" w:after="80"/>
      </w:pPr>
      <w:r>
        <w:rPr>
          <w:b/>
          <w:color w:val="2C559C"/>
          <w:sz w:val="28"/>
        </w:rPr>
        <w:t>Project Manager Information</w:t>
      </w:r>
    </w:p>
    <w:p>
      <w:r>
        <w:rPr>
          <w:b/>
        </w:rPr>
        <w:t xml:space="preserve">Name: </w:t>
      </w:r>
      <w:r>
        <w:t>Katie Bennett</w:t>
      </w:r>
    </w:p>
    <w:p>
      <w:r>
        <w:rPr>
          <w:b/>
        </w:rPr>
        <w:t xml:space="preserve">Organization: </w:t>
      </w:r>
      <w:r>
        <w:t>City of Duluth</w:t>
      </w:r>
    </w:p>
    <w:p>
      <w:r>
        <w:rPr>
          <w:b/>
        </w:rPr>
        <w:t xml:space="preserve">Office Telephone: </w:t>
      </w:r>
      <w:r>
        <w:t>(218) 430-4317</w:t>
      </w:r>
    </w:p>
    <w:p>
      <w:r>
        <w:rPr>
          <w:b/>
        </w:rPr>
        <w:t xml:space="preserve">Email: </w:t>
      </w:r>
      <w:r>
        <w:t>kbennett@duluthmn.gov</w:t>
      </w:r>
    </w:p>
    <w:p>
      <w:r>
        <w:rPr>
          <w:b/>
        </w:rPr>
        <w:t xml:space="preserve">Web Address: </w:t>
      </w:r>
      <w:r>
        <w:t>https://duluthmn.gov/</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09l</w:t>
      </w:r>
    </w:p>
    <w:p>
      <w:r>
        <w:rPr>
          <w:b/>
        </w:rPr>
        <w:t xml:space="preserve">Appropriation Language: </w:t>
      </w:r>
      <w:r>
        <w:t xml:space="preserve">$155,000 the first year is from the trust fund to the commissioner of natural resources for an agreement with the city of Duluth to develop accessible trails and remove invasive species to enhance outdoor recreation and education opportunities that promote conservation of raptors and preservation of natural resources at Hawk Ridge Nature Reserve.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Enhance outdoor recreation and education opportunities that promote conservation of raptors and preservation of natural resources through development of an accessible trail and removal of invasive species at Hawk Ridge.</w:t>
      </w:r>
    </w:p>
    <w:p>
      <w:pPr>
        <w:spacing w:after="60"/>
      </w:pPr>
      <w:r>
        <w:rPr>
          <w:b/>
        </w:rPr>
        <w:t>Describe the opportunity or problem your proposal seeks to address. Include any relevant background information.</w:t>
      </w:r>
    </w:p>
    <w:p>
      <w:r>
        <w:t xml:space="preserve">Hawk Ridge Bird Observatory (Observatory) was established to further bird research, preservation, education, and stewardship at the Hawk Ridge Nature Reserve (Hawk Ridge), an internationally recognized observation site for bird migration. The Observatory has monitored bird population health for 50 years through migration counts and banding research at Hawk Ridge, and educates thousands of people from around the world on the ecological importance of birds and bird conservation each year. </w:t>
        <w:br/>
        <w:br/>
        <w:t xml:space="preserve">A community-based planning process for Hawk Ridge revealed three primary challenges: 1) Limited accessible facilities and trails for education programs and outdoor recreation; 2) Visitor safety and conflicts with vehicle traffic; and 3) Limited space and resources for high-quality conservation-based education programming. </w:t>
        <w:br/>
        <w:br/>
        <w:t>This Phase 1 proposal addresses the problem that people of all abilities do not have access to high-quality outdoor recreation and conservation-based education at Hawk Ridge, and the negative effects of invasive species on native plant species. Accessibility to facilities at Hawk Ridge is challenging or non-existent. Accessible viewing areas are limited to the unsafe roadside and one small education program area; the viewing platform is not accessible. There are no accessible trails and, therefore, trail-based education, programming, and research opportunities are not available to all people.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This funding will support Phase I improvements of the Hawk Ridge Nature Reserve Plan to provide visitors of all abilities with access to high-quality outdoor recreation and conservation-based education opportunities. Approximately 1,300 linear feet of universally accessible trail will be constructed, including an accessible loop and access to the viewing platform. The loop will be established through a combination of newly constructed trail, segments of new boardwalk to protect and preserve wetlands, and upgrades to existing trail to meet the firm and stable surface requirements for an accessible trail. All trail will be designed to meet the ABA recreational trail accessibility standards and MN DNR sustainability guidelines. Approximately 1.25 acres of invasive species removal will be completed along the accessible trail corridor. </w:t>
        <w:br/>
        <w:br/>
        <w:t xml:space="preserve">With the implementation of future project phases, the accessible trail loop will connect a variety of new accessible facilities, including: parking, educational spaces, an amphitheater, permanent restrooms, a playscape, and an overlook area. </w:t>
        <w:br/>
        <w:br/>
        <w:t>Phase I improvements will make the uniquely situated natural area of Hawk Ridge a safer, more sustainable, accessible, and equitable space, allowing the Observatory to expand outdoor conservation-based education opportunities to more people and inspire new stewards of birds and our natural spaces.</w:t>
      </w:r>
    </w:p>
    <w:p>
      <w:pPr>
        <w:spacing w:after="60"/>
      </w:pPr>
      <w:r>
        <w:rPr>
          <w:b/>
        </w:rPr>
        <w:t xml:space="preserve">What are the specific project outcomes as they relate to the public purpose of protection, conservation, preservation, and enhancement of the state’s natural resources? </w:t>
      </w:r>
    </w:p>
    <w:p>
      <w:r>
        <w:t xml:space="preserve">Phase 1 improvements at Hawk Ridge will: </w:t>
        <w:br/>
        <w:t>•</w:t>
        <w:tab/>
        <w:t>Sustain and expand outdoor environmental education opportunities that enhance youth and family understanding of the importance of protection, conservation, preservation, and enhancement of local natural resources.</w:t>
        <w:br/>
        <w:t>•</w:t>
        <w:tab/>
        <w:t>Construct 1,300 linear feet of new accessible trail to expand outdoor education opportunities and promote protection and conservation of local natural resources for people of all abilities.</w:t>
        <w:br/>
        <w:t>•</w:t>
        <w:tab/>
        <w:t>Protect and preserve the hydrological integrity of wetlands by constructing 180 linear feet of raised boardwalk.</w:t>
        <w:br/>
        <w:t>•</w:t>
        <w:tab/>
        <w:t>Protect nature resources and native plant species by removing invasive species on approximately 1.25 acres of land.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Duluth</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Pre-Design / Design</w:t>
      </w:r>
    </w:p>
    <w:p>
      <w:r>
        <w:rPr>
          <w:b/>
        </w:rPr>
        <w:t xml:space="preserve">Activity Budget: </w:t>
      </w:r>
      <w:r>
        <w:t>$13,000</w:t>
      </w:r>
    </w:p>
    <w:p>
      <w:r>
        <w:rPr>
          <w:b/>
        </w:rPr>
        <w:t xml:space="preserve">Activity Description: </w:t>
        <w:br/>
      </w:r>
      <w:r>
        <w:t>Evaluate project requirements and objectives, establish project metrics and budget, complete necessary consultations and approval process, and secure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Dept. of Administration Pre-Design Review*</w:t>
            </w:r>
          </w:p>
        </w:tc>
        <w:tc>
          <w:tcPr>
            <w:tcW w:type="dxa" w:w="2160"/>
          </w:tcPr>
          <w:p>
            <w:pPr>
              <w:jc w:val="right"/>
            </w:pPr>
            <w:r>
              <w:rPr>
                <w:sz w:val="20"/>
              </w:rPr>
              <w:t>July 31, 2024</w:t>
            </w:r>
          </w:p>
        </w:tc>
      </w:tr>
      <w:tr>
        <w:tc>
          <w:tcPr>
            <w:tcW w:type="dxa" w:w="8640"/>
          </w:tcPr>
          <w:p>
            <w:r>
              <w:rPr>
                <w:sz w:val="20"/>
              </w:rPr>
              <w:t>Consultation with SHPO*</w:t>
            </w:r>
          </w:p>
        </w:tc>
        <w:tc>
          <w:tcPr>
            <w:tcW w:type="dxa" w:w="2160"/>
          </w:tcPr>
          <w:p>
            <w:pPr>
              <w:jc w:val="right"/>
            </w:pPr>
            <w:r>
              <w:rPr>
                <w:sz w:val="20"/>
              </w:rPr>
              <w:t>July 31, 2025</w:t>
            </w:r>
          </w:p>
        </w:tc>
      </w:tr>
      <w:tr>
        <w:tc>
          <w:tcPr>
            <w:tcW w:type="dxa" w:w="8640"/>
          </w:tcPr>
          <w:p>
            <w:r>
              <w:rPr>
                <w:sz w:val="20"/>
              </w:rPr>
              <w:t>All Construction Funds Legally Secured*</w:t>
            </w:r>
          </w:p>
        </w:tc>
        <w:tc>
          <w:tcPr>
            <w:tcW w:type="dxa" w:w="2160"/>
          </w:tcPr>
          <w:p>
            <w:pPr>
              <w:jc w:val="right"/>
            </w:pPr>
            <w:r>
              <w:rPr>
                <w:sz w:val="20"/>
              </w:rPr>
              <w:t>July 31, 2025</w:t>
            </w:r>
          </w:p>
        </w:tc>
      </w:tr>
      <w:tr>
        <w:tc>
          <w:tcPr>
            <w:tcW w:type="dxa" w:w="8640"/>
          </w:tcPr>
          <w:p>
            <w:r>
              <w:rPr>
                <w:sz w:val="20"/>
              </w:rPr>
              <w:t>Approval of Plans</w:t>
            </w:r>
          </w:p>
        </w:tc>
        <w:tc>
          <w:tcPr>
            <w:tcW w:type="dxa" w:w="2160"/>
          </w:tcPr>
          <w:p>
            <w:pPr>
              <w:jc w:val="right"/>
            </w:pPr>
            <w:r>
              <w:rPr>
                <w:sz w:val="20"/>
              </w:rPr>
              <w:t>August 31, 2025</w:t>
            </w:r>
          </w:p>
        </w:tc>
      </w:tr>
      <w:tr>
        <w:tc>
          <w:tcPr>
            <w:tcW w:type="dxa" w:w="8640"/>
          </w:tcPr>
          <w:p>
            <w:r>
              <w:rPr>
                <w:sz w:val="20"/>
              </w:rPr>
              <w:t>Other Permitting / Agency Review</w:t>
            </w:r>
          </w:p>
        </w:tc>
        <w:tc>
          <w:tcPr>
            <w:tcW w:type="dxa" w:w="2160"/>
          </w:tcPr>
          <w:p>
            <w:pPr>
              <w:jc w:val="right"/>
            </w:pPr>
            <w:r>
              <w:rPr>
                <w:sz w:val="20"/>
              </w:rPr>
              <w:t>August 31, 2025</w:t>
            </w:r>
          </w:p>
        </w:tc>
      </w:tr>
    </w:tbl>
    <w:p/>
    <w:p>
      <w:pPr>
        <w:pStyle w:val="Heading3"/>
        <w:spacing w:after="60"/>
      </w:pPr>
      <w:r>
        <w:rPr>
          <w:b/>
          <w:color w:val="254885"/>
          <w:sz w:val="26"/>
        </w:rPr>
        <w:t>Activity 2: Pre-Construction / Construction</w:t>
      </w:r>
    </w:p>
    <w:p>
      <w:r>
        <w:rPr>
          <w:b/>
        </w:rPr>
        <w:t xml:space="preserve">Activity Budget: </w:t>
      </w:r>
      <w:r>
        <w:t>$140,000</w:t>
      </w:r>
    </w:p>
    <w:p>
      <w:r>
        <w:rPr>
          <w:b/>
        </w:rPr>
        <w:t xml:space="preserve">Activity Description: </w:t>
        <w:br/>
      </w:r>
      <w:r>
        <w:t>Prepare construction documents to competitively bid and award the construction contract, and hold pre-construction meetings with the contractors, and begin physical construction and construction management. Approximately 1,300 linear feet of universally accessible trail will be constructed, including an accessible loop and access to the viewing platform. The loop will be established through a combination of newly constructed trail, segments of new boardwalk to protect and preserve wetlands, and upgrades to existing trail to meet the firm and stable surface requirements for an accessible trail. All trail will be designed to meet the ABA recreational trail accessibility standards and MN DNR sustainability guidelines. Approximately 1.25 acres of invasive species removal will be completed along the accessible trail corridor.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Advertisement for Bid</w:t>
            </w:r>
          </w:p>
        </w:tc>
        <w:tc>
          <w:tcPr>
            <w:tcW w:type="dxa" w:w="2160"/>
          </w:tcPr>
          <w:p>
            <w:pPr>
              <w:jc w:val="right"/>
            </w:pPr>
            <w:r>
              <w:rPr>
                <w:sz w:val="20"/>
              </w:rPr>
              <w:t>September 30, 2025</w:t>
            </w:r>
          </w:p>
        </w:tc>
      </w:tr>
      <w:tr>
        <w:tc>
          <w:tcPr>
            <w:tcW w:type="dxa" w:w="8640"/>
          </w:tcPr>
          <w:p>
            <w:r>
              <w:rPr>
                <w:sz w:val="20"/>
              </w:rPr>
              <w:t>Construction Contractor Selected</w:t>
            </w:r>
          </w:p>
        </w:tc>
        <w:tc>
          <w:tcPr>
            <w:tcW w:type="dxa" w:w="2160"/>
          </w:tcPr>
          <w:p>
            <w:pPr>
              <w:jc w:val="right"/>
            </w:pPr>
            <w:r>
              <w:rPr>
                <w:sz w:val="20"/>
              </w:rPr>
              <w:t>October 31, 2025</w:t>
            </w:r>
          </w:p>
        </w:tc>
      </w:tr>
      <w:tr>
        <w:tc>
          <w:tcPr>
            <w:tcW w:type="dxa" w:w="8640"/>
          </w:tcPr>
          <w:p>
            <w:r>
              <w:rPr>
                <w:sz w:val="20"/>
              </w:rPr>
              <w:t>Pre-construction Meetings</w:t>
            </w:r>
          </w:p>
        </w:tc>
        <w:tc>
          <w:tcPr>
            <w:tcW w:type="dxa" w:w="2160"/>
          </w:tcPr>
          <w:p>
            <w:pPr>
              <w:jc w:val="right"/>
            </w:pPr>
            <w:r>
              <w:rPr>
                <w:sz w:val="20"/>
              </w:rPr>
              <w:t>April 30, 2026</w:t>
            </w:r>
          </w:p>
        </w:tc>
      </w:tr>
      <w:tr>
        <w:tc>
          <w:tcPr>
            <w:tcW w:type="dxa" w:w="8640"/>
          </w:tcPr>
          <w:p>
            <w:r>
              <w:rPr>
                <w:sz w:val="20"/>
              </w:rPr>
              <w:t>Construction, Oversight, &amp; Administration Begins</w:t>
            </w:r>
          </w:p>
        </w:tc>
        <w:tc>
          <w:tcPr>
            <w:tcW w:type="dxa" w:w="2160"/>
          </w:tcPr>
          <w:p>
            <w:pPr>
              <w:jc w:val="right"/>
            </w:pPr>
            <w:r>
              <w:rPr>
                <w:sz w:val="20"/>
              </w:rPr>
              <w:t>May 31, 2026</w:t>
            </w:r>
          </w:p>
        </w:tc>
      </w:tr>
      <w:tr>
        <w:tc>
          <w:tcPr>
            <w:tcW w:type="dxa" w:w="8640"/>
          </w:tcPr>
          <w:p>
            <w:r>
              <w:rPr>
                <w:sz w:val="20"/>
              </w:rPr>
              <w:t>Mobilization/Site Preparation/Staking</w:t>
            </w:r>
          </w:p>
        </w:tc>
        <w:tc>
          <w:tcPr>
            <w:tcW w:type="dxa" w:w="2160"/>
          </w:tcPr>
          <w:p>
            <w:pPr>
              <w:jc w:val="right"/>
            </w:pPr>
            <w:r>
              <w:rPr>
                <w:sz w:val="20"/>
              </w:rPr>
              <w:t>May 31, 2026</w:t>
            </w:r>
          </w:p>
        </w:tc>
      </w:tr>
      <w:tr>
        <w:tc>
          <w:tcPr>
            <w:tcW w:type="dxa" w:w="8640"/>
          </w:tcPr>
          <w:p>
            <w:r>
              <w:rPr>
                <w:sz w:val="20"/>
              </w:rPr>
              <w:t>Substantial Completion</w:t>
            </w:r>
          </w:p>
        </w:tc>
        <w:tc>
          <w:tcPr>
            <w:tcW w:type="dxa" w:w="2160"/>
          </w:tcPr>
          <w:p>
            <w:pPr>
              <w:jc w:val="right"/>
            </w:pPr>
            <w:r>
              <w:rPr>
                <w:sz w:val="20"/>
              </w:rPr>
              <w:t>June 30, 2026</w:t>
            </w:r>
          </w:p>
        </w:tc>
      </w:tr>
      <w:tr>
        <w:tc>
          <w:tcPr>
            <w:tcW w:type="dxa" w:w="8640"/>
          </w:tcPr>
          <w:p>
            <w:r>
              <w:rPr>
                <w:sz w:val="20"/>
              </w:rPr>
              <w:t>Construction, Oversight, &amp; Administration Ends</w:t>
            </w:r>
          </w:p>
        </w:tc>
        <w:tc>
          <w:tcPr>
            <w:tcW w:type="dxa" w:w="2160"/>
          </w:tcPr>
          <w:p>
            <w:pPr>
              <w:jc w:val="right"/>
            </w:pPr>
            <w:r>
              <w:rPr>
                <w:sz w:val="20"/>
              </w:rPr>
              <w:t>July 31, 2026</w:t>
            </w:r>
          </w:p>
        </w:tc>
      </w:tr>
    </w:tbl>
    <w:p/>
    <w:p>
      <w:pPr>
        <w:pStyle w:val="Heading3"/>
        <w:spacing w:after="60"/>
      </w:pPr>
      <w:r>
        <w:rPr>
          <w:b/>
          <w:color w:val="254885"/>
          <w:sz w:val="26"/>
        </w:rPr>
        <w:t>Activity 3: Closeout</w:t>
      </w:r>
    </w:p>
    <w:p>
      <w:r>
        <w:rPr>
          <w:b/>
        </w:rPr>
        <w:t xml:space="preserve">Activity Budget: </w:t>
      </w:r>
      <w:r>
        <w:t>$2,000</w:t>
      </w:r>
    </w:p>
    <w:p>
      <w:r>
        <w:rPr>
          <w:b/>
        </w:rPr>
        <w:t xml:space="preserve">Activity Description: </w:t>
        <w:br/>
      </w:r>
      <w:r>
        <w:t>Post-construction activities to close the project out, including addressing punch list items, addressing all permitting and grant requirements, re-opening the facility to the public, and completing final payments and reports.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Stabilization/Punch List Items/As-builts Approved</w:t>
            </w:r>
          </w:p>
        </w:tc>
        <w:tc>
          <w:tcPr>
            <w:tcW w:type="dxa" w:w="2160"/>
          </w:tcPr>
          <w:p>
            <w:pPr>
              <w:jc w:val="right"/>
            </w:pPr>
            <w:r>
              <w:rPr>
                <w:sz w:val="20"/>
              </w:rPr>
              <w:t>July 31, 2026</w:t>
            </w:r>
          </w:p>
        </w:tc>
      </w:tr>
      <w:tr>
        <w:tc>
          <w:tcPr>
            <w:tcW w:type="dxa" w:w="8640"/>
          </w:tcPr>
          <w:p>
            <w:r>
              <w:rPr>
                <w:sz w:val="20"/>
              </w:rPr>
              <w:t>Certificate of Occupancy or Equivalent Obtained*</w:t>
            </w:r>
          </w:p>
        </w:tc>
        <w:tc>
          <w:tcPr>
            <w:tcW w:type="dxa" w:w="2160"/>
          </w:tcPr>
          <w:p>
            <w:pPr>
              <w:jc w:val="right"/>
            </w:pPr>
            <w:r>
              <w:rPr>
                <w:sz w:val="20"/>
              </w:rPr>
              <w:t>July 31, 2026</w:t>
            </w:r>
          </w:p>
        </w:tc>
      </w:tr>
      <w:tr>
        <w:tc>
          <w:tcPr>
            <w:tcW w:type="dxa" w:w="8640"/>
          </w:tcPr>
          <w:p>
            <w:r>
              <w:rPr>
                <w:sz w:val="20"/>
              </w:rPr>
              <w:t>Signage Installed with ENRTF Language or Logo*</w:t>
            </w:r>
          </w:p>
        </w:tc>
        <w:tc>
          <w:tcPr>
            <w:tcW w:type="dxa" w:w="2160"/>
          </w:tcPr>
          <w:p>
            <w:pPr>
              <w:jc w:val="right"/>
            </w:pPr>
            <w:r>
              <w:rPr>
                <w:sz w:val="20"/>
              </w:rPr>
              <w:t>July 31, 2026</w:t>
            </w:r>
          </w:p>
        </w:tc>
      </w:tr>
      <w:tr>
        <w:tc>
          <w:tcPr>
            <w:tcW w:type="dxa" w:w="8640"/>
          </w:tcPr>
          <w:p>
            <w:r>
              <w:rPr>
                <w:sz w:val="20"/>
              </w:rPr>
              <w:t>Open for Intended Use* / Grand Opening</w:t>
            </w:r>
          </w:p>
        </w:tc>
        <w:tc>
          <w:tcPr>
            <w:tcW w:type="dxa" w:w="2160"/>
          </w:tcPr>
          <w:p>
            <w:pPr>
              <w:jc w:val="right"/>
            </w:pPr>
            <w:r>
              <w:rPr>
                <w:sz w:val="20"/>
              </w:rPr>
              <w:t>July 31, 2026</w:t>
            </w:r>
          </w:p>
        </w:tc>
      </w:tr>
      <w:tr>
        <w:tc>
          <w:tcPr>
            <w:tcW w:type="dxa" w:w="8640"/>
          </w:tcPr>
          <w:p>
            <w:r>
              <w:rPr>
                <w:sz w:val="20"/>
              </w:rPr>
              <w:t>Notice of Funding Restriction Recorded*</w:t>
            </w:r>
          </w:p>
        </w:tc>
        <w:tc>
          <w:tcPr>
            <w:tcW w:type="dxa" w:w="2160"/>
          </w:tcPr>
          <w:p>
            <w:pPr>
              <w:jc w:val="right"/>
            </w:pPr>
            <w:r>
              <w:rPr>
                <w:sz w:val="20"/>
              </w:rPr>
              <w:t>December 31, 2026</w:t>
            </w:r>
          </w:p>
        </w:tc>
      </w:tr>
      <w:tr>
        <w:tc>
          <w:tcPr>
            <w:tcW w:type="dxa" w:w="8640"/>
          </w:tcPr>
          <w:p>
            <w:r>
              <w:rPr>
                <w:sz w:val="20"/>
              </w:rPr>
              <w:t>Ongoing Reporting / Final Report</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Janelle Long, Executive Director</w:t>
            </w:r>
          </w:p>
        </w:tc>
        <w:tc>
          <w:tcPr>
            <w:tcW w:type="dxa" w:w="1440"/>
          </w:tcPr>
          <w:p>
            <w:r>
              <w:rPr>
                <w:sz w:val="20"/>
              </w:rPr>
              <w:t>Hawk Ridge Bird Observatory</w:t>
            </w:r>
          </w:p>
        </w:tc>
        <w:tc>
          <w:tcPr>
            <w:tcW w:type="dxa" w:w="6840"/>
          </w:tcPr>
          <w:p>
            <w:r>
              <w:rPr>
                <w:sz w:val="20"/>
              </w:rPr>
              <w:t>Manage Hawk Ridge Nature Reserve in collaboration with the City of Duluth; Provide programming and nature-based education to promote conservation, research, and stewardship of raptors, migratory birds, and natural spaces; Seek grant funding and fundraise for implementation of future facility improvements identified under the Hawk Ridge Nature Reserve Mini-Master Plan.</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Acknowledgement of ENRTF funding will be included in all project communications and outreach through the use of the ENFTF logo, attribution language, or by tagging ENRTF on social media. The City and the Observatory will take several actions to include acknowledgements to ENRTF funding, including project signage, a project webpage, social media posts, a presentation before Duluth Parks and Recreation Commission, press releases, media interviews, and a ribbon cutting event. The Hawk Ridge Nature Reserve project webpage will include a project description, key project updates, a timeline, funding acknowledgements, and links to relevant documents, such as the Hawk Ridge Nature Reserve Mini-Master Plan, copies of public presentations, and final design documents.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Long-term implementation of the multi-phased Hawk Ridge Plan will be a collaborative effort between the Observatory and the City of Duluth (City). The Observatory will continue to seek grant funding and fundraise to support future project phases to improve accessibility, safety, and conservation/educational facilities.</w:t>
        <w:br/>
        <w:br/>
        <w:t xml:space="preserve">For this Phase 1 project, the City will be the project’s fiscal agent, procure a qualified contractor, and oversee construction. The City is committed to this role for future project phases, and will continue to coordinate future improvements. </w:t>
        <w:br/>
        <w:br/>
        <w:t>During and post-construction, the Observatory will continue to manage Hawk Ridge and provide programming and educational services.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St. Louis River Re-Connect</w:t>
            </w:r>
          </w:p>
        </w:tc>
        <w:tc>
          <w:tcPr>
            <w:tcW w:type="dxa" w:w="4680"/>
          </w:tcPr>
          <w:p>
            <w:r>
              <w:rPr>
                <w:sz w:val="20"/>
              </w:rPr>
              <w:t>M.L. 2022, , Chp. 94, Art. , Sec. 2, Subd. 09d</w:t>
            </w:r>
          </w:p>
        </w:tc>
        <w:tc>
          <w:tcPr>
            <w:tcW w:type="dxa" w:w="1440"/>
          </w:tcPr>
          <w:p>
            <w:pPr>
              <w:jc w:val="right"/>
            </w:pPr>
            <w:r>
              <w:rPr>
                <w:sz w:val="20"/>
              </w:rPr>
              <w:t>$500,000</w:t>
            </w:r>
          </w:p>
        </w:tc>
      </w:tr>
      <w:tr>
        <w:tc>
          <w:tcPr>
            <w:tcW w:type="dxa" w:w="4680"/>
          </w:tcPr>
          <w:p>
            <w:r>
              <w:rPr>
                <w:sz w:val="20"/>
              </w:rPr>
              <w:t>St. Louis River Re-Connect - Phase II</w:t>
            </w:r>
          </w:p>
        </w:tc>
        <w:tc>
          <w:tcPr>
            <w:tcW w:type="dxa" w:w="4680"/>
          </w:tcPr>
          <w:p>
            <w:r>
              <w:rPr>
                <w:sz w:val="20"/>
              </w:rPr>
              <w:t>M.L. 2023, , Chp. 60, Art. 2, Sec. 2, Subd. 09j</w:t>
            </w:r>
          </w:p>
        </w:tc>
        <w:tc>
          <w:tcPr>
            <w:tcW w:type="dxa" w:w="1440"/>
          </w:tcPr>
          <w:p>
            <w:pPr>
              <w:jc w:val="right"/>
            </w:pPr>
            <w:r>
              <w:rPr>
                <w:sz w:val="20"/>
              </w:rPr>
              <w:t>$1,375,000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Landscape and Design Consultant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$13,000</w:t>
            </w:r>
          </w:p>
        </w:tc>
      </w:tr>
      <w:tr>
        <w:tc>
          <w:tcPr>
            <w:tcW w:type="dxa" w:w="864"/>
          </w:tcPr>
          <w:p>
            <w:r>
              <w:rPr>
                <w:sz w:val="20"/>
              </w:rPr>
              <w:t>TBD</w:t>
            </w:r>
          </w:p>
        </w:tc>
        <w:tc>
          <w:tcPr>
            <w:tcW w:type="dxa" w:w="1440"/>
          </w:tcPr>
          <w:p>
            <w:r>
              <w:rPr>
                <w:sz w:val="20"/>
              </w:rPr>
              <w:t>Service Contract</w:t>
            </w:r>
          </w:p>
        </w:tc>
        <w:tc>
          <w:tcPr>
            <w:tcW w:type="dxa" w:w="5472"/>
          </w:tcPr>
          <w:p>
            <w:r>
              <w:rPr>
                <w:sz w:val="20"/>
              </w:rPr>
              <w:t>Trail Construction Contractor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0.46</w:t>
            </w:r>
          </w:p>
        </w:tc>
        <w:tc>
          <w:tcPr>
            <w:tcW w:type="dxa" w:w="360"/>
          </w:tcPr>
          <w:p>
            <w:r>
              <w:rPr>
                <w:sz w:val="20"/>
              </w:rPr>
            </w:r>
          </w:p>
        </w:tc>
        <w:tc>
          <w:tcPr>
            <w:tcW w:type="dxa" w:w="1152"/>
          </w:tcPr>
          <w:p>
            <w:pPr>
              <w:jc w:val="right"/>
            </w:pPr>
            <w:r>
              <w:rPr>
                <w:sz w:val="20"/>
              </w:rPr>
              <w:t>$140,000</w:t>
            </w:r>
          </w:p>
        </w:tc>
      </w:tr>
      <w:tr>
        <w:tc>
          <w:tcPr>
            <w:tcW w:type="dxa" w:w="864"/>
          </w:tcPr>
          <w:p>
            <w:r>
              <w:rPr>
                <w:sz w:val="20"/>
              </w:rPr>
              <w:t>TBD</w:t>
            </w:r>
          </w:p>
        </w:tc>
        <w:tc>
          <w:tcPr>
            <w:tcW w:type="dxa" w:w="1440"/>
          </w:tcPr>
          <w:p>
            <w:r>
              <w:rPr>
                <w:sz w:val="20"/>
              </w:rPr>
              <w:t>Service Contract</w:t>
            </w:r>
          </w:p>
        </w:tc>
        <w:tc>
          <w:tcPr>
            <w:tcW w:type="dxa" w:w="5472"/>
          </w:tcPr>
          <w:p>
            <w:r>
              <w:rPr>
                <w:sz w:val="20"/>
              </w:rPr>
              <w:t>Invasive Species Removal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Hawk Ridge Bird Observatory / Duluth Superior Area Community Foundation</w:t>
            </w:r>
          </w:p>
        </w:tc>
        <w:tc>
          <w:tcPr>
            <w:tcW w:type="dxa" w:w="6120"/>
          </w:tcPr>
          <w:p>
            <w:r>
              <w:rPr>
                <w:sz w:val="20"/>
              </w:rPr>
              <w:t>Accessible Trail Planning</w:t>
            </w:r>
          </w:p>
        </w:tc>
        <w:tc>
          <w:tcPr>
            <w:tcW w:type="dxa" w:w="1080"/>
          </w:tcPr>
          <w:p>
            <w:r>
              <w:rPr>
                <w:sz w:val="20"/>
              </w:rPr>
              <w:t>Secured</w:t>
            </w:r>
          </w:p>
        </w:tc>
        <w:tc>
          <w:tcPr>
            <w:tcW w:type="dxa" w:w="1440"/>
          </w:tcPr>
          <w:p>
            <w:pPr>
              <w:jc w:val="right"/>
            </w:pPr>
            <w:r>
              <w:rPr>
                <w:sz w:val="20"/>
              </w:rPr>
              <w:t>$1,932</w:t>
            </w:r>
          </w:p>
        </w:tc>
      </w:tr>
      <w:tr>
        <w:tc>
          <w:tcPr>
            <w:tcW w:type="dxa" w:w="1080"/>
          </w:tcPr>
          <w:p>
            <w:r>
              <w:rPr>
                <w:sz w:val="20"/>
              </w:rPr>
              <w:t>Cash</w:t>
            </w:r>
          </w:p>
        </w:tc>
        <w:tc>
          <w:tcPr>
            <w:tcW w:type="dxa" w:w="4680"/>
          </w:tcPr>
          <w:p>
            <w:r>
              <w:rPr>
                <w:sz w:val="20"/>
              </w:rPr>
              <w:t>Hawk Ridge Bird Observatory / Lloyd K Johnson Foundation (2019-20)</w:t>
            </w:r>
          </w:p>
        </w:tc>
        <w:tc>
          <w:tcPr>
            <w:tcW w:type="dxa" w:w="6120"/>
          </w:tcPr>
          <w:p>
            <w:r>
              <w:rPr>
                <w:sz w:val="20"/>
              </w:rPr>
              <w:t>Hawk Ridge Nature Reserve Mini-Master Plan Development</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Hawk Ridge Bird Observatory / Lloyd K Johnson Foundation (2021-22)</w:t>
            </w:r>
          </w:p>
        </w:tc>
        <w:tc>
          <w:tcPr>
            <w:tcW w:type="dxa" w:w="6120"/>
          </w:tcPr>
          <w:p>
            <w:r>
              <w:rPr>
                <w:sz w:val="20"/>
              </w:rPr>
              <w:t>Hawk Ridge Nature Reserve Mini-Master Plan Development</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Hawk Ridge Bird Observatory</w:t>
            </w:r>
          </w:p>
        </w:tc>
        <w:tc>
          <w:tcPr>
            <w:tcW w:type="dxa" w:w="6120"/>
          </w:tcPr>
          <w:p>
            <w:r>
              <w:rPr>
                <w:sz w:val="20"/>
              </w:rPr>
              <w:t>Project Coordination</w:t>
            </w:r>
          </w:p>
        </w:tc>
        <w:tc>
          <w:tcPr>
            <w:tcW w:type="dxa" w:w="1080"/>
          </w:tcPr>
          <w:p>
            <w:r>
              <w:rPr>
                <w:sz w:val="20"/>
              </w:rPr>
              <w:t>Secured</w:t>
            </w:r>
          </w:p>
        </w:tc>
        <w:tc>
          <w:tcPr>
            <w:tcW w:type="dxa" w:w="1440"/>
          </w:tcPr>
          <w:p>
            <w:pPr>
              <w:jc w:val="right"/>
            </w:pPr>
            <w:r>
              <w:rPr>
                <w:sz w:val="20"/>
              </w:rPr>
              <w:t>$5,079</w:t>
            </w:r>
          </w:p>
        </w:tc>
      </w:tr>
      <w:tr>
        <w:tc>
          <w:tcPr>
            <w:tcW w:type="dxa" w:w="1080"/>
          </w:tcPr>
          <w:p>
            <w:r>
              <w:rPr>
                <w:sz w:val="20"/>
              </w:rPr>
              <w:t>Cash</w:t>
            </w:r>
          </w:p>
        </w:tc>
        <w:tc>
          <w:tcPr>
            <w:tcW w:type="dxa" w:w="4680"/>
          </w:tcPr>
          <w:p>
            <w:r>
              <w:rPr>
                <w:sz w:val="20"/>
              </w:rPr>
              <w:t>City of Duluth</w:t>
            </w:r>
          </w:p>
        </w:tc>
        <w:tc>
          <w:tcPr>
            <w:tcW w:type="dxa" w:w="6120"/>
          </w:tcPr>
          <w:p>
            <w:r>
              <w:rPr>
                <w:sz w:val="20"/>
              </w:rPr>
              <w:t>Landscape and Design Plans</w:t>
            </w:r>
          </w:p>
        </w:tc>
        <w:tc>
          <w:tcPr>
            <w:tcW w:type="dxa" w:w="1080"/>
          </w:tcPr>
          <w:p>
            <w:r>
              <w:rPr>
                <w:sz w:val="20"/>
              </w:rPr>
              <w:t>Secured</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$52,011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$52,011</w:t>
            </w:r>
          </w:p>
        </w:tc>
      </w:tr>
    </w:tbl>
    <w:p/>
    <w:p>
      <w:r>
        <w:rPr>
          <w:b/>
        </w:rPr>
        <w:t>Total Project Cost: $207,011</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064d44f7-f02.pdf</w:t>
          </w:r>
        </w:hyperlink>
      </w:r>
    </w:p>
    <w:p>
      <w:pPr>
        <w:pStyle w:val="Heading4"/>
        <w:spacing w:before="40" w:after="20"/>
      </w:pPr>
      <w:r>
        <w:rPr>
          <w:b/>
          <w:i/>
          <w:color w:val="000000"/>
          <w:sz w:val="24"/>
        </w:rPr>
        <w:t>Alternate Text for Visual Component</w:t>
      </w:r>
    </w:p>
    <w:p>
      <w:r>
        <w:t>Site plan showing an aerial view of Hawk Ridge and Skyline Parkway, elevation contours, and three phases of improvement. Phase 1 includes an accessible trail loop. Phase 2 includes new educational/gathering spaces, restrooms, and road safety improvements. Phase 3 includes new educational/gathering facilities, a playscape, and connector trails....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Duluth Management and Compliance Report</w:t>
            </w:r>
          </w:p>
        </w:tc>
        <w:tc>
          <w:tcPr>
            <w:tcW w:type="dxa" w:w="5400"/>
          </w:tcPr>
          <w:p>
            <w:r>
              <w:rPr>
                <w:sz w:val="20"/>
              </w:rPr>
            </w:r>
            <w:r>
              <w:rPr>
                <w:color w:val="000000" w:themeColor="hyperlink"/>
                <w:sz w:val="20"/>
                <w:u w:val="single"/>
              </w:rPr>
              <w:hyperlink r:id="rId13">
                <w:r>
                  <w:rPr/>
                  <w:t>1660ef46-732.pdf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24-0226R</w:t>
            </w:r>
          </w:p>
        </w:tc>
        <w:tc>
          <w:tcPr>
            <w:tcW w:type="dxa" w:w="5400"/>
          </w:tcPr>
          <w:p>
            <w:r>
              <w:rPr>
                <w:sz w:val="20"/>
              </w:rPr>
            </w:r>
            <w:r>
              <w:rPr>
                <w:color w:val="000000" w:themeColor="hyperlink"/>
                <w:sz w:val="20"/>
                <w:u w:val="single"/>
              </w:rPr>
              <w:hyperlink r:id="rId14">
                <w:r>
                  <w:rPr/>
                  <w:t>0dd853a4-975.pdf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Capital Construction Project Questionnaire</w:t>
            </w:r>
          </w:p>
        </w:tc>
        <w:tc>
          <w:tcPr>
            <w:tcW w:type="dxa" w:w="5400"/>
          </w:tcPr>
          <w:p>
            <w:r>
              <w:rPr>
                <w:sz w:val="20"/>
              </w:rPr>
            </w:r>
            <w:r>
              <w:rPr>
                <w:color w:val="000000" w:themeColor="hyperlink"/>
                <w:sz w:val="20"/>
                <w:u w:val="single"/>
              </w:rPr>
              <w:hyperlink r:id="rId15">
                <w:r>
                  <w:rPr/>
                  <w:t>5e49226d-5f2.pdf</w:t>
                </w:r>
              </w:hyperlink>
            </w:r>
          </w:p>
        </w:tc>
      </w:tr>
      <w:tr>
        <w:tc>
          <w:tcPr>
            <w:tcW w:type="dxa" w:w="5400"/>
          </w:tcPr>
          <w:p>
            <w:r>
              <w:rPr>
                <w:sz w:val="20"/>
              </w:rPr>
              <w:t>Capital Construction Project - Budget Addendum</w:t>
            </w:r>
          </w:p>
        </w:tc>
        <w:tc>
          <w:tcPr>
            <w:tcW w:type="dxa" w:w="5400"/>
          </w:tcPr>
          <w:p>
            <w:r>
              <w:rPr>
                <w:sz w:val="20"/>
              </w:rPr>
            </w:r>
            <w:r>
              <w:rPr>
                <w:color w:val="000000" w:themeColor="hyperlink"/>
                <w:sz w:val="20"/>
                <w:u w:val="single"/>
              </w:rPr>
              <w:hyperlink r:id="rId16">
                <w:r>
                  <w:rPr/>
                  <w:t>5ab67da6-66b.xlsx</w:t>
                </w:r>
              </w:hyperlink>
            </w:r>
          </w:p>
        </w:tc>
      </w:tr>
      <w:tr>
        <w:tc>
          <w:tcPr>
            <w:tcW w:type="dxa" w:w="5400"/>
          </w:tcPr>
          <w:p>
            <w:r>
              <w:rPr>
                <w:sz w:val="20"/>
              </w:rPr>
              <w:t>Letters of Support</w:t>
            </w:r>
          </w:p>
        </w:tc>
        <w:tc>
          <w:tcPr>
            <w:tcW w:type="dxa" w:w="5400"/>
          </w:tcPr>
          <w:p>
            <w:r>
              <w:rPr>
                <w:sz w:val="20"/>
              </w:rPr>
            </w:r>
            <w:r>
              <w:rPr>
                <w:color w:val="000000" w:themeColor="hyperlink"/>
                <w:sz w:val="20"/>
                <w:u w:val="single"/>
              </w:rPr>
              <w:hyperlink r:id="rId17">
                <w:r>
                  <w:rPr/>
                  <w:t>76ab8b91-8a4.pdf</w:t>
                </w:r>
              </w:hyperlink>
            </w:r>
          </w:p>
        </w:tc>
      </w:tr>
      <w:tr>
        <w:tc>
          <w:tcPr>
            <w:tcW w:type="dxa" w:w="5400"/>
          </w:tcPr>
          <w:p>
            <w:r>
              <w:rPr>
                <w:sz w:val="20"/>
              </w:rPr>
              <w:t>Hawk Ridge Nature Reserve Photos</w:t>
            </w:r>
          </w:p>
        </w:tc>
        <w:tc>
          <w:tcPr>
            <w:tcW w:type="dxa" w:w="5400"/>
          </w:tcPr>
          <w:p>
            <w:r>
              <w:rPr>
                <w:sz w:val="20"/>
              </w:rPr>
            </w:r>
            <w:r>
              <w:rPr>
                <w:color w:val="000000" w:themeColor="hyperlink"/>
                <w:sz w:val="20"/>
                <w:u w:val="single"/>
              </w:rPr>
              <w:hyperlink r:id="rId18">
                <w:r>
                  <w:rPr/>
                  <w:t>18027ed9-8b9.pdf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There are no major changes from the proposal to the workplan stage.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 xml:space="preserve">Allison Brooks – City of Duluth Project Coordinator  </w:t>
        <w:br/>
        <w:t>James M. Shoberg, PLA - City of Duluth Landscape Architect and Senior Parks Planner</w:t>
        <w:br/>
        <w:t>Janelle Long – Hawk Ridge Bird Observatory Executive Director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64d44f7-f02.pdf" TargetMode="External"/><Relationship Id="rId13" Type="http://schemas.openxmlformats.org/officeDocument/2006/relationships/hyperlink" Target="https://lccmrprojectmgmt.leg.mn/media/attachments/1660ef46-732.pdf" TargetMode="External"/><Relationship Id="rId14" Type="http://schemas.openxmlformats.org/officeDocument/2006/relationships/hyperlink" Target="https://lccmrprojectmgmt.leg.mn/media/attachments/0dd853a4-975.pdf" TargetMode="External"/><Relationship Id="rId15" Type="http://schemas.openxmlformats.org/officeDocument/2006/relationships/hyperlink" Target="https://lccmrprojectmgmt.leg.mn/media/attachments/5e49226d-5f2.pdf" TargetMode="External"/><Relationship Id="rId16" Type="http://schemas.openxmlformats.org/officeDocument/2006/relationships/hyperlink" Target="https://lccmrprojectmgmt.leg.mn/media/attachments/5ab67da6-66b.xlsx" TargetMode="External"/><Relationship Id="rId17" Type="http://schemas.openxmlformats.org/officeDocument/2006/relationships/hyperlink" Target="https://lccmrprojectmgmt.leg.mn/media/attachments/76ab8b91-8a4.pdf" TargetMode="External"/><Relationship Id="rId18" Type="http://schemas.openxmlformats.org/officeDocument/2006/relationships/hyperlink" Target="https://lccmrprojectmgmt.leg.mn/media/attachments/18027ed9-8b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Enhancing Preservation and Accessibility at Hawk Ridge Nature Reserve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