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2025-236</w:t>
      </w:r>
    </w:p>
    <w:p>
      <w:r>
        <w:rPr>
          <w:b/>
        </w:rPr>
        <w:t xml:space="preserve">Staff Lead: </w:t>
      </w:r>
      <w:r>
        <w:t>Mike Campana</w:t>
      </w:r>
    </w:p>
    <w:p>
      <w:r>
        <w:rPr>
          <w:b/>
        </w:rPr>
        <w:t xml:space="preserve">Date this document submitted to LCCMR: </w:t>
      </w:r>
      <w:r>
        <w:t>June 5, 2025</w:t>
      </w:r>
    </w:p>
    <w:p>
      <w:r>
        <w:rPr>
          <w:b/>
        </w:rPr>
        <w:t xml:space="preserve">Project Title: </w:t>
      </w:r>
      <w:r>
        <w:t>Thom Storm Chalet and Outdoor Recreation Center</w:t>
      </w:r>
    </w:p>
    <w:p>
      <w:r>
        <w:rPr>
          <w:b/>
        </w:rPr>
        <w:t xml:space="preserve">Project Budget: </w:t>
      </w:r>
      <w:r>
        <w:t>$2,312,000</w:t>
      </w:r>
    </w:p>
    <w:p/>
    <w:p>
      <w:pPr>
        <w:pStyle w:val="Heading2"/>
        <w:spacing w:before="0" w:after="80"/>
      </w:pPr>
      <w:r>
        <w:rPr>
          <w:b/>
          <w:color w:val="2C559C"/>
          <w:sz w:val="28"/>
        </w:rPr>
        <w:t>Project Manager Information</w:t>
      </w:r>
    </w:p>
    <w:p>
      <w:r>
        <w:rPr>
          <w:b/>
        </w:rPr>
        <w:t xml:space="preserve">Name: </w:t>
      </w:r>
      <w:r>
        <w:t>Katie Bennett</w:t>
      </w:r>
    </w:p>
    <w:p>
      <w:r>
        <w:rPr>
          <w:b/>
        </w:rPr>
        <w:t xml:space="preserve">Organization: </w:t>
      </w:r>
      <w:r>
        <w:t>City of Duluth</w:t>
      </w:r>
    </w:p>
    <w:p>
      <w:r>
        <w:rPr>
          <w:b/>
        </w:rPr>
        <w:t xml:space="preserve">Office Telephone: </w:t>
      </w:r>
      <w:r>
        <w:t>(218) 730-4317</w:t>
      </w:r>
    </w:p>
    <w:p>
      <w:r>
        <w:rPr>
          <w:b/>
        </w:rPr>
        <w:t xml:space="preserve">Email: </w:t>
      </w:r>
      <w:r>
        <w:t>kbennett@duluthmn.gov</w:t>
      </w:r>
    </w:p>
    <w:p>
      <w:r>
        <w:rPr>
          <w:b/>
        </w:rPr>
        <w:t xml:space="preserve">Web Address: </w:t>
      </w:r>
      <w:r>
        <w:t>https://duluthmn.gov/</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09k</w:t>
      </w:r>
    </w:p>
    <w:p>
      <w:r>
        <w:rPr>
          <w:b/>
        </w:rPr>
        <w:t xml:space="preserve">Appropriation Language: </w:t>
      </w:r>
      <w:r>
        <w:t xml:space="preserve">$2,312,000 the first year is from the trust fund to the commissioner of natural resources for an agreement with the city of Duluth to construct a new building and accessible parking for the Thom Storm Chalet and Outdoor Recreation Center at Chester Park to expand high-quality outdoor recreation and environmental education opportunities that enhance youth and family understanding of the importance of natural resource protection, conservation, and preservation. Net income generated as part of this appropriation may be reinvested in the project if a plan for reinvestment is approved in the work plan as provided under Minnesota Statutes, section 116P.10.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Reconstruct the Thom Storm Chalet and Outdoor Recreation Center to expand high-quality outdoor recreation and environmental education opportunities to preserve and protect the unique natural resources of Chester Park.</w:t>
      </w:r>
    </w:p>
    <w:p>
      <w:pPr>
        <w:spacing w:after="60"/>
      </w:pPr>
      <w:r>
        <w:rPr>
          <w:b/>
        </w:rPr>
        <w:t>Describe the opportunity or problem your proposal seeks to address. Include any relevant background information.</w:t>
      </w:r>
    </w:p>
    <w:p>
      <w:r>
        <w:t xml:space="preserve">Chester Bowl Improvement Club (Club) has provided quality programs at Chester Park since 2008. The Club promotes natural resource protection through outdoor recreation and environmental education activities for children and families. Outdoor and nature-based activities include ski/snowboard programs, summer and fall day camps with an environmental education focus, and community-based festivals and concerts. The Club fosters leadership development by hiring/training high school students to assist with programming and education. </w:t>
        <w:br/>
        <w:br/>
        <w:t xml:space="preserve">The Thom Storm Chalet and Outdoor Recreation Center (Center) has been the heart of Chester Park – a 135-acre park with a restored urban trout stream - for over 50 years. Unfortunately, an Asset Report by the City of Duluth (City) shows the existing building is past its useful lifespan and cannot meet the needs of a modern nature-based recreation and education facility; of 46 assessed systems, 32 were beyond useful life and 14 were potentially critical, and 13 accessibility limitations were identified as requiring corrective action. </w:t>
        <w:br/>
        <w:br/>
        <w:t>The existing building limits the Club’s ability to serve the community. Each year the Club must turn away dozens of families from their outdoor recreation and environmental education opportunities, which are critical for developing the next generation of stewards of our natural spaces.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proposed solution is to reconstruct the Center to improve accessibility, achieve modern sustainability standards, and better meet the community’s nature-based recreation, education, and preservation needs. The Center will be new construction on the existing foundation, plus 415 square feet of new foundation to allow for an accessible elevator. Other accessibility improvements include parking, building egress, individual and multi-stall restrooms, and hallway widths. The building will be constructed to B3 standards to improve energy efficiency. Improvements to the surrounding site will allow for ten parking stalls, including accessible parking. </w:t>
        <w:br/>
        <w:br/>
        <w:t>By primarily building upward, the Center will expand from a 3,330 square foot, 2-story building, to a 5,220 square foot, 3-story building; increasing capacity by 56%, while preserving the adjacent trout stream and surrounding natural resources. The Center will have educational and multi-purpose rooms, a viewing deck, accessible restrooms available for use by the general public, and support space to better implement environmental education. The reconstructed Center will allow the Club to expand nature-based programming and education opportunities, reach more children and families, be more inclusive and sustainable, and serve as a critical hub to nurture generations of Minnesotans that understand the importance of preserving and protecting natural resources.</w:t>
      </w:r>
    </w:p>
    <w:p>
      <w:pPr>
        <w:spacing w:after="60"/>
      </w:pPr>
      <w:r>
        <w:rPr>
          <w:b/>
        </w:rPr>
        <w:t xml:space="preserve">What are the specific project outcomes as they relate to the public purpose of protection, conservation, preservation, and enhancement of the state’s natural resources? </w:t>
      </w:r>
    </w:p>
    <w:p>
      <w:r>
        <w:t>Reconstruction of the Thom Storm Chalet and Outdoor Recreation Center will:</w:t>
        <w:br/>
        <w:t>•</w:t>
        <w:tab/>
        <w:t xml:space="preserve">Create a high-quality nature and recreation center to expand outdoor recreational and environmental education opportunities that enhance youth and family understanding of the importance of natural resource protection, conservation, and preservation. </w:t>
        <w:br/>
        <w:t>•</w:t>
        <w:tab/>
        <w:t>Preserve and protect an urban trout stream, Chester Creek, through sustainable reconstruction of the adjacent Center.</w:t>
        <w:br/>
        <w:t>•</w:t>
        <w:tab/>
        <w:t xml:space="preserve">Improve accessible environmental education and outdoor recreation opportunities for all people. </w:t>
        <w:br/>
        <w:t>•</w:t>
        <w:tab/>
        <w:t>Reduce energy waste and advance sustainability goals by designing to B3 Guidelines.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City(s): </w:t>
      </w:r>
      <w:r>
        <w:t>Duluth</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Pre-Design / Design</w:t>
      </w:r>
    </w:p>
    <w:p>
      <w:r>
        <w:rPr>
          <w:b/>
        </w:rPr>
        <w:t xml:space="preserve">Activity Budget: </w:t>
      </w:r>
      <w:r>
        <w:t>$1</w:t>
      </w:r>
    </w:p>
    <w:p>
      <w:r>
        <w:rPr>
          <w:b/>
        </w:rPr>
        <w:t xml:space="preserve">Activity Description: </w:t>
        <w:br/>
      </w:r>
      <w:r>
        <w:t>The objective of the Pre-Design/Design activity is to establish an effective, efficient, and sustainable building and site design for the Center. Tasks include evaluating project requirements and objectives, establishing project metrics and budgets, completing necessary consultations and approval process, and securing funding. These tasks will be accomplished collaboratively between the Club and the City. This activity will result in the approval of final plans to be implemented in the construction phase. This activity will be paid for with non-ENRTF funds.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Enrollment in Minnesota B3 Guidelines Tracking Tool</w:t>
            </w:r>
          </w:p>
        </w:tc>
        <w:tc>
          <w:tcPr>
            <w:tcW w:type="dxa" w:w="2160"/>
          </w:tcPr>
          <w:p>
            <w:pPr>
              <w:jc w:val="right"/>
            </w:pPr>
            <w:r>
              <w:rPr>
                <w:sz w:val="20"/>
              </w:rPr>
              <w:t>March 31, 2024</w:t>
            </w:r>
          </w:p>
        </w:tc>
      </w:tr>
      <w:tr>
        <w:tc>
          <w:tcPr>
            <w:tcW w:type="dxa" w:w="8640"/>
          </w:tcPr>
          <w:p>
            <w:r>
              <w:rPr>
                <w:sz w:val="20"/>
              </w:rPr>
              <w:t>Dept. of Administration Pre-Design Review*</w:t>
            </w:r>
          </w:p>
        </w:tc>
        <w:tc>
          <w:tcPr>
            <w:tcW w:type="dxa" w:w="2160"/>
          </w:tcPr>
          <w:p>
            <w:pPr>
              <w:jc w:val="right"/>
            </w:pPr>
            <w:r>
              <w:rPr>
                <w:sz w:val="20"/>
              </w:rPr>
              <w:t>June 30, 2024</w:t>
            </w:r>
          </w:p>
        </w:tc>
      </w:tr>
      <w:tr>
        <w:tc>
          <w:tcPr>
            <w:tcW w:type="dxa" w:w="8640"/>
          </w:tcPr>
          <w:p>
            <w:r>
              <w:rPr>
                <w:sz w:val="20"/>
              </w:rPr>
              <w:t>Consultation with SHPO*</w:t>
            </w:r>
          </w:p>
        </w:tc>
        <w:tc>
          <w:tcPr>
            <w:tcW w:type="dxa" w:w="2160"/>
          </w:tcPr>
          <w:p>
            <w:pPr>
              <w:jc w:val="right"/>
            </w:pPr>
            <w:r>
              <w:rPr>
                <w:sz w:val="20"/>
              </w:rPr>
              <w:t>July 31, 2025</w:t>
            </w:r>
          </w:p>
        </w:tc>
      </w:tr>
      <w:tr>
        <w:tc>
          <w:tcPr>
            <w:tcW w:type="dxa" w:w="8640"/>
          </w:tcPr>
          <w:p>
            <w:r>
              <w:rPr>
                <w:sz w:val="20"/>
              </w:rPr>
              <w:t>All Construction Funds Legally Secured*</w:t>
            </w:r>
          </w:p>
        </w:tc>
        <w:tc>
          <w:tcPr>
            <w:tcW w:type="dxa" w:w="2160"/>
          </w:tcPr>
          <w:p>
            <w:pPr>
              <w:jc w:val="right"/>
            </w:pPr>
            <w:r>
              <w:rPr>
                <w:sz w:val="20"/>
              </w:rPr>
              <w:t>July 31, 2025</w:t>
            </w:r>
          </w:p>
        </w:tc>
      </w:tr>
      <w:tr>
        <w:tc>
          <w:tcPr>
            <w:tcW w:type="dxa" w:w="8640"/>
          </w:tcPr>
          <w:p>
            <w:r>
              <w:rPr>
                <w:sz w:val="20"/>
              </w:rPr>
              <w:t>Approval of Plans</w:t>
            </w:r>
          </w:p>
        </w:tc>
        <w:tc>
          <w:tcPr>
            <w:tcW w:type="dxa" w:w="2160"/>
          </w:tcPr>
          <w:p>
            <w:pPr>
              <w:jc w:val="right"/>
            </w:pPr>
            <w:r>
              <w:rPr>
                <w:sz w:val="20"/>
              </w:rPr>
              <w:t>December 31, 2025</w:t>
            </w:r>
          </w:p>
        </w:tc>
      </w:tr>
      <w:tr>
        <w:tc>
          <w:tcPr>
            <w:tcW w:type="dxa" w:w="8640"/>
          </w:tcPr>
          <w:p>
            <w:r>
              <w:rPr>
                <w:sz w:val="20"/>
              </w:rPr>
              <w:t>Other Permitting / Agency Review</w:t>
            </w:r>
          </w:p>
        </w:tc>
        <w:tc>
          <w:tcPr>
            <w:tcW w:type="dxa" w:w="2160"/>
          </w:tcPr>
          <w:p>
            <w:pPr>
              <w:jc w:val="right"/>
            </w:pPr>
            <w:r>
              <w:rPr>
                <w:sz w:val="20"/>
              </w:rPr>
              <w:t>January 31, 2026</w:t>
            </w:r>
          </w:p>
        </w:tc>
      </w:tr>
    </w:tbl>
    <w:p/>
    <w:p>
      <w:pPr>
        <w:pStyle w:val="Heading3"/>
        <w:spacing w:after="60"/>
      </w:pPr>
      <w:r>
        <w:rPr>
          <w:b/>
          <w:color w:val="254885"/>
          <w:sz w:val="26"/>
        </w:rPr>
        <w:t>Activity 2: Pre-Construction</w:t>
      </w:r>
    </w:p>
    <w:p>
      <w:r>
        <w:rPr>
          <w:b/>
        </w:rPr>
        <w:t xml:space="preserve">Activity Budget: </w:t>
      </w:r>
      <w:r>
        <w:t>$1</w:t>
      </w:r>
    </w:p>
    <w:p>
      <w:r>
        <w:rPr>
          <w:b/>
        </w:rPr>
        <w:t xml:space="preserve">Activity Description: </w:t>
        <w:br/>
      </w:r>
      <w:r>
        <w:t>The objectives and tasks of the Pre-Construction activity are to prepare construction documents that can be competitively bid, to award the construction contract to a qualified contractor, and to hold pre-construction meetings with the contractor. These tasks will be accomplished collaboratively between the Club and the City, and the City will be responsible for ensuring proper procurement processes are followed. This activity will help prepare all parties for the following Construction activity. This activity will be paid for with non-ENRTF funds.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Advertisement for Bid</w:t>
            </w:r>
          </w:p>
        </w:tc>
        <w:tc>
          <w:tcPr>
            <w:tcW w:type="dxa" w:w="2160"/>
          </w:tcPr>
          <w:p>
            <w:pPr>
              <w:jc w:val="right"/>
            </w:pPr>
            <w:r>
              <w:rPr>
                <w:sz w:val="20"/>
              </w:rPr>
              <w:t>February 28, 2026</w:t>
            </w:r>
          </w:p>
        </w:tc>
      </w:tr>
      <w:tr>
        <w:tc>
          <w:tcPr>
            <w:tcW w:type="dxa" w:w="8640"/>
          </w:tcPr>
          <w:p>
            <w:r>
              <w:rPr>
                <w:sz w:val="20"/>
              </w:rPr>
              <w:t>Construction Contractor Selected</w:t>
            </w:r>
          </w:p>
        </w:tc>
        <w:tc>
          <w:tcPr>
            <w:tcW w:type="dxa" w:w="2160"/>
          </w:tcPr>
          <w:p>
            <w:pPr>
              <w:jc w:val="right"/>
            </w:pPr>
            <w:r>
              <w:rPr>
                <w:sz w:val="20"/>
              </w:rPr>
              <w:t>February 28, 2026</w:t>
            </w:r>
          </w:p>
        </w:tc>
      </w:tr>
      <w:tr>
        <w:tc>
          <w:tcPr>
            <w:tcW w:type="dxa" w:w="8640"/>
          </w:tcPr>
          <w:p>
            <w:r>
              <w:rPr>
                <w:sz w:val="20"/>
              </w:rPr>
              <w:t>Pre-construction Meetings</w:t>
            </w:r>
          </w:p>
        </w:tc>
        <w:tc>
          <w:tcPr>
            <w:tcW w:type="dxa" w:w="2160"/>
          </w:tcPr>
          <w:p>
            <w:pPr>
              <w:jc w:val="right"/>
            </w:pPr>
            <w:r>
              <w:rPr>
                <w:sz w:val="20"/>
              </w:rPr>
              <w:t>March 31, 2026</w:t>
            </w:r>
          </w:p>
        </w:tc>
      </w:tr>
    </w:tbl>
    <w:p/>
    <w:p>
      <w:pPr>
        <w:pStyle w:val="Heading3"/>
        <w:spacing w:after="60"/>
      </w:pPr>
      <w:r>
        <w:rPr>
          <w:b/>
          <w:color w:val="254885"/>
          <w:sz w:val="26"/>
        </w:rPr>
        <w:t>Activity 3: Construction</w:t>
      </w:r>
    </w:p>
    <w:p>
      <w:r>
        <w:rPr>
          <w:b/>
        </w:rPr>
        <w:t xml:space="preserve">Activity Budget: </w:t>
      </w:r>
      <w:r>
        <w:t>$2,311,997</w:t>
      </w:r>
    </w:p>
    <w:p>
      <w:r>
        <w:rPr>
          <w:b/>
        </w:rPr>
        <w:t xml:space="preserve">Activity Description: </w:t>
        <w:br/>
      </w:r>
      <w:r>
        <w:t>The objective of the Construction activity is to physically construct the Center. Tasks include demolition of the existing building and reconstruction of the new building – from site preparation tasks through building completion – by the selected contractor, and construction oversight and administration by the City. This activity accounts for that most substantial portion of project work and will set the stage for all of the project benefits to follow.</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Construction, Oversight, &amp; Administration Begins</w:t>
            </w:r>
          </w:p>
        </w:tc>
        <w:tc>
          <w:tcPr>
            <w:tcW w:type="dxa" w:w="2160"/>
          </w:tcPr>
          <w:p>
            <w:pPr>
              <w:jc w:val="right"/>
            </w:pPr>
            <w:r>
              <w:rPr>
                <w:sz w:val="20"/>
              </w:rPr>
              <w:t>April 30, 2026</w:t>
            </w:r>
          </w:p>
        </w:tc>
      </w:tr>
      <w:tr>
        <w:tc>
          <w:tcPr>
            <w:tcW w:type="dxa" w:w="8640"/>
          </w:tcPr>
          <w:p>
            <w:r>
              <w:rPr>
                <w:sz w:val="20"/>
              </w:rPr>
              <w:t>Mobilization/Site Preparation/Staking</w:t>
            </w:r>
          </w:p>
        </w:tc>
        <w:tc>
          <w:tcPr>
            <w:tcW w:type="dxa" w:w="2160"/>
          </w:tcPr>
          <w:p>
            <w:pPr>
              <w:jc w:val="right"/>
            </w:pPr>
            <w:r>
              <w:rPr>
                <w:sz w:val="20"/>
              </w:rPr>
              <w:t>April 30, 2026</w:t>
            </w:r>
          </w:p>
        </w:tc>
      </w:tr>
      <w:tr>
        <w:tc>
          <w:tcPr>
            <w:tcW w:type="dxa" w:w="8640"/>
          </w:tcPr>
          <w:p>
            <w:r>
              <w:rPr>
                <w:sz w:val="20"/>
              </w:rPr>
              <w:t>Substantial Completion</w:t>
            </w:r>
          </w:p>
        </w:tc>
        <w:tc>
          <w:tcPr>
            <w:tcW w:type="dxa" w:w="2160"/>
          </w:tcPr>
          <w:p>
            <w:pPr>
              <w:jc w:val="right"/>
            </w:pPr>
            <w:r>
              <w:rPr>
                <w:sz w:val="20"/>
              </w:rPr>
              <w:t>October 31, 2026</w:t>
            </w:r>
          </w:p>
        </w:tc>
      </w:tr>
      <w:tr>
        <w:tc>
          <w:tcPr>
            <w:tcW w:type="dxa" w:w="8640"/>
          </w:tcPr>
          <w:p>
            <w:r>
              <w:rPr>
                <w:sz w:val="20"/>
              </w:rPr>
              <w:t>Construction, Oversight, &amp; Administration Ends</w:t>
            </w:r>
          </w:p>
        </w:tc>
        <w:tc>
          <w:tcPr>
            <w:tcW w:type="dxa" w:w="2160"/>
          </w:tcPr>
          <w:p>
            <w:pPr>
              <w:jc w:val="right"/>
            </w:pPr>
            <w:r>
              <w:rPr>
                <w:sz w:val="20"/>
              </w:rPr>
              <w:t>October 31, 2026</w:t>
            </w:r>
          </w:p>
        </w:tc>
      </w:tr>
    </w:tbl>
    <w:p/>
    <w:p>
      <w:pPr>
        <w:pStyle w:val="Heading3"/>
        <w:spacing w:after="60"/>
      </w:pPr>
      <w:r>
        <w:rPr>
          <w:b/>
          <w:color w:val="254885"/>
          <w:sz w:val="26"/>
        </w:rPr>
        <w:t>Activity 4: Closeout</w:t>
      </w:r>
    </w:p>
    <w:p>
      <w:r>
        <w:rPr>
          <w:b/>
        </w:rPr>
        <w:t xml:space="preserve">Activity Budget: </w:t>
      </w:r>
      <w:r>
        <w:t>$1</w:t>
      </w:r>
    </w:p>
    <w:p>
      <w:r>
        <w:rPr>
          <w:b/>
        </w:rPr>
        <w:t xml:space="preserve">Activity Description: </w:t>
        <w:br/>
      </w:r>
      <w:r>
        <w:t>The objectives of Closeout activities is to fully complete the project and re-open the Center to the public. Tasks include addressing punch list items, as built-approvals, addressing all permitting and grant requirements, re-opening the facility to the public, and completing final payments and reports. This activity will be paid for with non-ENRTF funds.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Stabilization/Punch List Items/As-builts Approved</w:t>
            </w:r>
          </w:p>
        </w:tc>
        <w:tc>
          <w:tcPr>
            <w:tcW w:type="dxa" w:w="2160"/>
          </w:tcPr>
          <w:p>
            <w:pPr>
              <w:jc w:val="right"/>
            </w:pPr>
            <w:r>
              <w:rPr>
                <w:sz w:val="20"/>
              </w:rPr>
              <w:t>November 30, 2026</w:t>
            </w:r>
          </w:p>
        </w:tc>
      </w:tr>
      <w:tr>
        <w:tc>
          <w:tcPr>
            <w:tcW w:type="dxa" w:w="8640"/>
          </w:tcPr>
          <w:p>
            <w:r>
              <w:rPr>
                <w:sz w:val="20"/>
              </w:rPr>
              <w:t>Certificate of Occupancy or Equivalent Obtained*</w:t>
            </w:r>
          </w:p>
        </w:tc>
        <w:tc>
          <w:tcPr>
            <w:tcW w:type="dxa" w:w="2160"/>
          </w:tcPr>
          <w:p>
            <w:pPr>
              <w:jc w:val="right"/>
            </w:pPr>
            <w:r>
              <w:rPr>
                <w:sz w:val="20"/>
              </w:rPr>
              <w:t>November 30, 2026</w:t>
            </w:r>
          </w:p>
        </w:tc>
      </w:tr>
      <w:tr>
        <w:tc>
          <w:tcPr>
            <w:tcW w:type="dxa" w:w="8640"/>
          </w:tcPr>
          <w:p>
            <w:r>
              <w:rPr>
                <w:sz w:val="20"/>
              </w:rPr>
              <w:t>Signage Installed with ENRTF Language or Logo*</w:t>
            </w:r>
          </w:p>
        </w:tc>
        <w:tc>
          <w:tcPr>
            <w:tcW w:type="dxa" w:w="2160"/>
          </w:tcPr>
          <w:p>
            <w:pPr>
              <w:jc w:val="right"/>
            </w:pPr>
            <w:r>
              <w:rPr>
                <w:sz w:val="20"/>
              </w:rPr>
              <w:t>November 30, 2026</w:t>
            </w:r>
          </w:p>
        </w:tc>
      </w:tr>
      <w:tr>
        <w:tc>
          <w:tcPr>
            <w:tcW w:type="dxa" w:w="8640"/>
          </w:tcPr>
          <w:p>
            <w:r>
              <w:rPr>
                <w:sz w:val="20"/>
              </w:rPr>
              <w:t>Open for Intended Use* / Grand Opening</w:t>
            </w:r>
          </w:p>
        </w:tc>
        <w:tc>
          <w:tcPr>
            <w:tcW w:type="dxa" w:w="2160"/>
          </w:tcPr>
          <w:p>
            <w:pPr>
              <w:jc w:val="right"/>
            </w:pPr>
            <w:r>
              <w:rPr>
                <w:sz w:val="20"/>
              </w:rPr>
              <w:t>November 30, 2026</w:t>
            </w:r>
          </w:p>
        </w:tc>
      </w:tr>
      <w:tr>
        <w:tc>
          <w:tcPr>
            <w:tcW w:type="dxa" w:w="8640"/>
          </w:tcPr>
          <w:p>
            <w:r>
              <w:rPr>
                <w:sz w:val="20"/>
              </w:rPr>
              <w:t>Notice of Funding Restriction Recorded*</w:t>
            </w:r>
          </w:p>
        </w:tc>
        <w:tc>
          <w:tcPr>
            <w:tcW w:type="dxa" w:w="2160"/>
          </w:tcPr>
          <w:p>
            <w:pPr>
              <w:jc w:val="right"/>
            </w:pPr>
            <w:r>
              <w:rPr>
                <w:sz w:val="20"/>
              </w:rPr>
              <w:t>March 31, 2027</w:t>
            </w:r>
          </w:p>
        </w:tc>
      </w:tr>
      <w:tr>
        <w:tc>
          <w:tcPr>
            <w:tcW w:type="dxa" w:w="8640"/>
          </w:tcPr>
          <w:p>
            <w:r>
              <w:rPr>
                <w:sz w:val="20"/>
              </w:rPr>
              <w:t>Ongoing Reporting / Final Report</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Dave Schaeffer, Executive Director</w:t>
            </w:r>
          </w:p>
        </w:tc>
        <w:tc>
          <w:tcPr>
            <w:tcW w:type="dxa" w:w="1440"/>
          </w:tcPr>
          <w:p>
            <w:r>
              <w:rPr>
                <w:sz w:val="20"/>
              </w:rPr>
              <w:t>Chester Bowl Improvement Club</w:t>
            </w:r>
          </w:p>
        </w:tc>
        <w:tc>
          <w:tcPr>
            <w:tcW w:type="dxa" w:w="6840"/>
          </w:tcPr>
          <w:p>
            <w:r>
              <w:rPr>
                <w:sz w:val="20"/>
              </w:rPr>
              <w:t>Manage the Thom Storm Chalet and Outdoor Recreation Center in Chester Park; Provide programming and nature-based education to promote conservation and stewardship of natural resources for generations to come; Manage Growing Up Chester capital campaign to support project implementation.</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Acknowledgement of ENRTF funding will be included in all project communications and outreach through the use of the ENFTF logo, attribution language, or by tagging ENRTF on social media. The City and the Club will take several actions to include acknowledgements to ENRTF funding, including project signage, a project webpage, social media posts, a presentation before Duluth Parks and Recreation Commission, press releases, media interviews, a groundbreaking ceremony, and a ribbon cutting/grand opening event. The project webpage will include a project description, key project updates, a timeline, funding acknowledgements, and links to copies of public presentations, final designs, and other important project documents.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Reconstructing the Center is a collaborative effort between the Club and the City. The Club and LHB Inc’s architectural team is leading the design in consultation with the City. The Club is also leading a successful fundraising campaign, which will fund any additional costs. The City will be the project’s fiscal agent, procure a qualified contractor, and oversee construction. </w:t>
        <w:br/>
        <w:br/>
        <w:t>During construction, large tents will be erected to minimize disruptions to the Club’s camps, programming, and outdoor recreation and education opportunities. Post-construction, the Club will maintain their exclusive use agreement with the City to operate programming out of the Center.</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St. Louis River Re-Connect</w:t>
            </w:r>
          </w:p>
        </w:tc>
        <w:tc>
          <w:tcPr>
            <w:tcW w:type="dxa" w:w="4680"/>
          </w:tcPr>
          <w:p>
            <w:r>
              <w:rPr>
                <w:sz w:val="20"/>
              </w:rPr>
              <w:t>M.L. 2022, , Chp. 94, Art. , Sec. 2, Subd. 09d</w:t>
            </w:r>
          </w:p>
        </w:tc>
        <w:tc>
          <w:tcPr>
            <w:tcW w:type="dxa" w:w="1440"/>
          </w:tcPr>
          <w:p>
            <w:pPr>
              <w:jc w:val="right"/>
            </w:pPr>
            <w:r>
              <w:rPr>
                <w:sz w:val="20"/>
              </w:rPr>
              <w:t>$500,000</w:t>
            </w:r>
          </w:p>
        </w:tc>
      </w:tr>
      <w:tr>
        <w:tc>
          <w:tcPr>
            <w:tcW w:type="dxa" w:w="4680"/>
          </w:tcPr>
          <w:p>
            <w:r>
              <w:rPr>
                <w:sz w:val="20"/>
              </w:rPr>
              <w:t>St. Louis River Re-Connect - Phase II</w:t>
            </w:r>
          </w:p>
        </w:tc>
        <w:tc>
          <w:tcPr>
            <w:tcW w:type="dxa" w:w="4680"/>
          </w:tcPr>
          <w:p>
            <w:r>
              <w:rPr>
                <w:sz w:val="20"/>
              </w:rPr>
              <w:t>M.L. 2023, , Chp. 60, Art. 2, Sec. 2, Subd. 09j</w:t>
            </w:r>
          </w:p>
        </w:tc>
        <w:tc>
          <w:tcPr>
            <w:tcW w:type="dxa" w:w="1440"/>
          </w:tcPr>
          <w:p>
            <w:pPr>
              <w:jc w:val="right"/>
            </w:pPr>
            <w:r>
              <w:rPr>
                <w:sz w:val="20"/>
              </w:rPr>
              <w:t>$1,375,000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Construction contractor (demolition of existing building; reconstruction of new building)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9</w:t>
            </w:r>
          </w:p>
        </w:tc>
        <w:tc>
          <w:tcPr>
            <w:tcW w:type="dxa" w:w="360"/>
          </w:tcPr>
          <w:p>
            <w:r>
              <w:rPr>
                <w:sz w:val="20"/>
              </w:rPr>
            </w:r>
          </w:p>
        </w:tc>
        <w:tc>
          <w:tcPr>
            <w:tcW w:type="dxa" w:w="1152"/>
          </w:tcPr>
          <w:p>
            <w:pPr>
              <w:jc w:val="right"/>
            </w:pPr>
            <w:r>
              <w:rPr>
                <w:sz w:val="20"/>
              </w:rPr>
              <w:t>$2,312,000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$2,312,000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$2,312,000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Chester Bowl Improvement Club</w:t>
            </w:r>
          </w:p>
        </w:tc>
        <w:tc>
          <w:tcPr>
            <w:tcW w:type="dxa" w:w="6120"/>
          </w:tcPr>
          <w:p>
            <w:r>
              <w:rPr>
                <w:sz w:val="20"/>
              </w:rPr>
              <w:t>Project Coordination</w:t>
            </w:r>
          </w:p>
        </w:tc>
        <w:tc>
          <w:tcPr>
            <w:tcW w:type="dxa" w:w="1080"/>
          </w:tcPr>
          <w:p>
            <w:r>
              <w:rPr>
                <w:sz w:val="20"/>
              </w:rPr>
              <w:t>Secured</w:t>
            </w:r>
          </w:p>
        </w:tc>
        <w:tc>
          <w:tcPr>
            <w:tcW w:type="dxa" w:w="1440"/>
          </w:tcPr>
          <w:p>
            <w:pPr>
              <w:jc w:val="right"/>
            </w:pPr>
            <w:r>
              <w:rPr>
                <w:sz w:val="20"/>
              </w:rPr>
              <w:t>$9,324</w:t>
            </w:r>
          </w:p>
        </w:tc>
      </w:tr>
      <w:tr>
        <w:tc>
          <w:tcPr>
            <w:tcW w:type="dxa" w:w="1080"/>
          </w:tcPr>
          <w:p>
            <w:r>
              <w:rPr>
                <w:sz w:val="20"/>
              </w:rPr>
              <w:t>In-Kind</w:t>
            </w:r>
          </w:p>
        </w:tc>
        <w:tc>
          <w:tcPr>
            <w:tcW w:type="dxa" w:w="4680"/>
          </w:tcPr>
          <w:p>
            <w:r>
              <w:rPr>
                <w:sz w:val="20"/>
              </w:rPr>
              <w:t>LHB, Inc. / Chester Bowl Improvement Club</w:t>
            </w:r>
          </w:p>
        </w:tc>
        <w:tc>
          <w:tcPr>
            <w:tcW w:type="dxa" w:w="6120"/>
          </w:tcPr>
          <w:p>
            <w:r>
              <w:rPr>
                <w:sz w:val="20"/>
              </w:rPr>
              <w:t>Design Services</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Cash</w:t>
            </w:r>
          </w:p>
        </w:tc>
        <w:tc>
          <w:tcPr>
            <w:tcW w:type="dxa" w:w="4680"/>
          </w:tcPr>
          <w:p>
            <w:r>
              <w:rPr>
                <w:sz w:val="20"/>
              </w:rPr>
              <w:t>Chester Bowl Improvement Club</w:t>
            </w:r>
          </w:p>
        </w:tc>
        <w:tc>
          <w:tcPr>
            <w:tcW w:type="dxa" w:w="6120"/>
          </w:tcPr>
          <w:p>
            <w:r>
              <w:rPr>
                <w:sz w:val="20"/>
              </w:rPr>
              <w:t>Design Services</w:t>
            </w:r>
          </w:p>
        </w:tc>
        <w:tc>
          <w:tcPr>
            <w:tcW w:type="dxa" w:w="1080"/>
          </w:tcPr>
          <w:p>
            <w:r>
              <w:rPr>
                <w:sz w:val="20"/>
              </w:rPr>
              <w:t>Secured</w:t>
            </w:r>
          </w:p>
        </w:tc>
        <w:tc>
          <w:tcPr>
            <w:tcW w:type="dxa" w:w="1440"/>
          </w:tcPr>
          <w:p>
            <w:pPr>
              <w:jc w:val="right"/>
            </w:pPr>
            <w:r>
              <w:rPr>
                <w:sz w:val="20"/>
              </w:rPr>
              <w:t>$232,500</w:t>
            </w:r>
          </w:p>
        </w:tc>
      </w:tr>
      <w:tr>
        <w:tc>
          <w:tcPr>
            <w:tcW w:type="dxa" w:w="1080"/>
          </w:tcPr>
          <w:p>
            <w:r>
              <w:rPr>
                <w:sz w:val="20"/>
              </w:rPr>
              <w:t>Cash</w:t>
            </w:r>
          </w:p>
        </w:tc>
        <w:tc>
          <w:tcPr>
            <w:tcW w:type="dxa" w:w="4680"/>
          </w:tcPr>
          <w:p>
            <w:r>
              <w:rPr>
                <w:sz w:val="20"/>
              </w:rPr>
              <w:t>Chester Bowl Improvement Club</w:t>
            </w:r>
          </w:p>
        </w:tc>
        <w:tc>
          <w:tcPr>
            <w:tcW w:type="dxa" w:w="6120"/>
          </w:tcPr>
          <w:p>
            <w:r>
              <w:rPr>
                <w:sz w:val="20"/>
              </w:rPr>
              <w:t>Construction Contractor, Contingency, Inflation</w:t>
            </w:r>
          </w:p>
        </w:tc>
        <w:tc>
          <w:tcPr>
            <w:tcW w:type="dxa" w:w="1080"/>
          </w:tcPr>
          <w:p>
            <w:r>
              <w:rPr>
                <w:sz w:val="20"/>
              </w:rPr>
              <w:t>Secured</w:t>
            </w:r>
          </w:p>
        </w:tc>
        <w:tc>
          <w:tcPr>
            <w:tcW w:type="dxa" w:w="1440"/>
          </w:tcPr>
          <w:p>
            <w:pPr>
              <w:jc w:val="right"/>
            </w:pPr>
            <w:r>
              <w:rPr>
                <w:sz w:val="20"/>
              </w:rPr>
              <w:t>$595,797</w:t>
            </w:r>
          </w:p>
        </w:tc>
      </w:tr>
      <w:tr>
        <w:tc>
          <w:tcPr>
            <w:tcW w:type="dxa" w:w="1080"/>
          </w:tcPr>
          <w:p>
            <w:r>
              <w:rPr>
                <w:sz w:val="20"/>
              </w:rPr>
              <w:t>Cash</w:t>
            </w:r>
          </w:p>
        </w:tc>
        <w:tc>
          <w:tcPr>
            <w:tcW w:type="dxa" w:w="4680"/>
          </w:tcPr>
          <w:p>
            <w:r>
              <w:rPr>
                <w:sz w:val="20"/>
              </w:rPr>
              <w:t>Chester Bowl Improvement Club</w:t>
            </w:r>
          </w:p>
        </w:tc>
        <w:tc>
          <w:tcPr>
            <w:tcW w:type="dxa" w:w="6120"/>
          </w:tcPr>
          <w:p>
            <w:r>
              <w:rPr>
                <w:sz w:val="20"/>
              </w:rPr>
              <w:t>Signage and Wayfinding</w:t>
            </w:r>
          </w:p>
        </w:tc>
        <w:tc>
          <w:tcPr>
            <w:tcW w:type="dxa" w:w="1080"/>
          </w:tcPr>
          <w:p>
            <w:r>
              <w:rPr>
                <w:sz w:val="20"/>
              </w:rPr>
              <w:t>Secured</w:t>
            </w:r>
          </w:p>
        </w:tc>
        <w:tc>
          <w:tcPr>
            <w:tcW w:type="dxa" w:w="1440"/>
          </w:tcPr>
          <w:p>
            <w:pPr>
              <w:jc w:val="right"/>
            </w:pPr>
            <w:r>
              <w:rPr>
                <w:sz w:val="20"/>
              </w:rPr>
              <w:t>$7,500</w:t>
            </w:r>
          </w:p>
        </w:tc>
      </w:tr>
      <w:tr>
        <w:tc>
          <w:tcPr>
            <w:tcW w:type="dxa" w:w="1080"/>
          </w:tcPr>
          <w:p>
            <w:r>
              <w:rPr>
                <w:sz w:val="20"/>
              </w:rPr>
              <w:t>Cash</w:t>
            </w:r>
          </w:p>
        </w:tc>
        <w:tc>
          <w:tcPr>
            <w:tcW w:type="dxa" w:w="4680"/>
          </w:tcPr>
          <w:p>
            <w:r>
              <w:rPr>
                <w:sz w:val="20"/>
              </w:rPr>
              <w:t>Chester Bowl Improvement Club</w:t>
            </w:r>
          </w:p>
        </w:tc>
        <w:tc>
          <w:tcPr>
            <w:tcW w:type="dxa" w:w="6120"/>
          </w:tcPr>
          <w:p>
            <w:r>
              <w:rPr>
                <w:sz w:val="20"/>
              </w:rPr>
              <w:t>FF&amp;E</w:t>
            </w:r>
          </w:p>
        </w:tc>
        <w:tc>
          <w:tcPr>
            <w:tcW w:type="dxa" w:w="1080"/>
          </w:tcPr>
          <w:p>
            <w:r>
              <w:rPr>
                <w:sz w:val="20"/>
              </w:rPr>
              <w:t>Secured</w:t>
            </w:r>
          </w:p>
        </w:tc>
        <w:tc>
          <w:tcPr>
            <w:tcW w:type="dxa" w:w="1440"/>
          </w:tcPr>
          <w:p>
            <w:pPr>
              <w:jc w:val="right"/>
            </w:pPr>
            <w:r>
              <w:rPr>
                <w:sz w:val="20"/>
              </w:rPr>
              <w:t>$75,000</w:t>
            </w:r>
          </w:p>
        </w:tc>
      </w:tr>
      <w:tr>
        <w:tc>
          <w:tcPr>
            <w:tcW w:type="dxa" w:w="1080"/>
          </w:tcPr>
          <w:p>
            <w:r>
              <w:rPr>
                <w:sz w:val="20"/>
              </w:rPr>
              <w:t>Cash</w:t>
            </w:r>
          </w:p>
        </w:tc>
        <w:tc>
          <w:tcPr>
            <w:tcW w:type="dxa" w:w="4680"/>
          </w:tcPr>
          <w:p>
            <w:r>
              <w:rPr>
                <w:sz w:val="20"/>
              </w:rPr>
              <w:t>Chester Bowl Improvement Club</w:t>
            </w:r>
          </w:p>
        </w:tc>
        <w:tc>
          <w:tcPr>
            <w:tcW w:type="dxa" w:w="6120"/>
          </w:tcPr>
          <w:p>
            <w:r>
              <w:rPr>
                <w:sz w:val="20"/>
              </w:rPr>
              <w:t>Envelope &amp; MEP Commissioning</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Cash</w:t>
            </w:r>
          </w:p>
        </w:tc>
        <w:tc>
          <w:tcPr>
            <w:tcW w:type="dxa" w:w="4680"/>
          </w:tcPr>
          <w:p>
            <w:r>
              <w:rPr>
                <w:sz w:val="20"/>
              </w:rPr>
              <w:t>Chester Bowl Improvement Club</w:t>
            </w:r>
          </w:p>
        </w:tc>
        <w:tc>
          <w:tcPr>
            <w:tcW w:type="dxa" w:w="6120"/>
          </w:tcPr>
          <w:p>
            <w:r>
              <w:rPr>
                <w:sz w:val="20"/>
              </w:rPr>
              <w:t>Construction Contractor</w:t>
            </w:r>
          </w:p>
        </w:tc>
        <w:tc>
          <w:tcPr>
            <w:tcW w:type="dxa" w:w="1080"/>
          </w:tcPr>
          <w:p>
            <w:r>
              <w:rPr>
                <w:sz w:val="20"/>
              </w:rPr>
              <w:t>Pending</w:t>
            </w:r>
          </w:p>
        </w:tc>
        <w:tc>
          <w:tcPr>
            <w:tcW w:type="dxa" w:w="1440"/>
          </w:tcPr>
          <w:p>
            <w:pPr>
              <w:jc w:val="right"/>
            </w:pPr>
            <w:r>
              <w:rPr>
                <w:sz w:val="20"/>
              </w:rPr>
              <w:t>$538,000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$1,503,121</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$1,503,121</w:t>
            </w:r>
          </w:p>
        </w:tc>
      </w:tr>
    </w:tbl>
    <w:p/>
    <w:p>
      <w:r>
        <w:rPr>
          <w:b/>
        </w:rPr>
        <w:t>Total Project Cost: $3,815,121</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f150bdbe-b6a.pdf</w:t>
          </w:r>
        </w:hyperlink>
      </w:r>
    </w:p>
    <w:p>
      <w:pPr>
        <w:pStyle w:val="Heading4"/>
        <w:spacing w:before="40" w:after="20"/>
      </w:pPr>
      <w:r>
        <w:rPr>
          <w:b/>
          <w:i/>
          <w:color w:val="000000"/>
          <w:sz w:val="24"/>
        </w:rPr>
        <w:t>Alternate Text for Visual Component</w:t>
      </w:r>
    </w:p>
    <w:p>
      <w:r>
        <w:t>Grayscale architectural drawing of the proposed building shows three stories, ample windows, two entryways, clock-tower, and viewing-deck. Below, a site plan illustrates the proposed building and surrounding facilities, including the existing Chester Creek, bridge-crossing, and trail south/southeast of the building, and proposed parking to the southwest of the building....</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Duluth Management and Compliance Report</w:t>
            </w:r>
          </w:p>
        </w:tc>
        <w:tc>
          <w:tcPr>
            <w:tcW w:type="dxa" w:w="5400"/>
          </w:tcPr>
          <w:p>
            <w:r>
              <w:rPr>
                <w:sz w:val="20"/>
              </w:rPr>
            </w:r>
            <w:r>
              <w:rPr>
                <w:color w:val="000000" w:themeColor="hyperlink"/>
                <w:sz w:val="20"/>
                <w:u w:val="single"/>
              </w:rPr>
              <w:hyperlink r:id="rId13">
                <w:r>
                  <w:rPr/>
                  <w:t>37bdf06c-810.pdf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24-0229R</w:t>
            </w:r>
          </w:p>
        </w:tc>
        <w:tc>
          <w:tcPr>
            <w:tcW w:type="dxa" w:w="5400"/>
          </w:tcPr>
          <w:p>
            <w:r>
              <w:rPr>
                <w:sz w:val="20"/>
              </w:rPr>
            </w:r>
            <w:r>
              <w:rPr>
                <w:color w:val="000000" w:themeColor="hyperlink"/>
                <w:sz w:val="20"/>
                <w:u w:val="single"/>
              </w:rPr>
              <w:hyperlink r:id="rId14">
                <w:r>
                  <w:rPr/>
                  <w:t>e7774513-8db.pdf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Capital Construction Project - Budget Addendum</w:t>
            </w:r>
          </w:p>
        </w:tc>
        <w:tc>
          <w:tcPr>
            <w:tcW w:type="dxa" w:w="5400"/>
          </w:tcPr>
          <w:p>
            <w:r>
              <w:rPr>
                <w:sz w:val="20"/>
              </w:rPr>
            </w:r>
            <w:r>
              <w:rPr>
                <w:color w:val="000000" w:themeColor="hyperlink"/>
                <w:sz w:val="20"/>
                <w:u w:val="single"/>
              </w:rPr>
              <w:hyperlink r:id="rId15">
                <w:r>
                  <w:rPr/>
                  <w:t>751babae-8b8.xlsx</w:t>
                </w:r>
              </w:hyperlink>
            </w:r>
          </w:p>
        </w:tc>
      </w:tr>
      <w:tr>
        <w:tc>
          <w:tcPr>
            <w:tcW w:type="dxa" w:w="5400"/>
          </w:tcPr>
          <w:p>
            <w:r>
              <w:rPr>
                <w:sz w:val="20"/>
              </w:rPr>
              <w:t>Photos of Thom Storm Chalet and Outdoor Recreation Center</w:t>
            </w:r>
          </w:p>
        </w:tc>
        <w:tc>
          <w:tcPr>
            <w:tcW w:type="dxa" w:w="5400"/>
          </w:tcPr>
          <w:p>
            <w:r>
              <w:rPr>
                <w:sz w:val="20"/>
              </w:rPr>
            </w:r>
            <w:r>
              <w:rPr>
                <w:color w:val="000000" w:themeColor="hyperlink"/>
                <w:sz w:val="20"/>
                <w:u w:val="single"/>
              </w:rPr>
              <w:hyperlink r:id="rId16">
                <w:r>
                  <w:rPr/>
                  <w:t>ecb16716-2dd.pdf</w:t>
                </w:r>
              </w:hyperlink>
            </w:r>
          </w:p>
        </w:tc>
      </w:tr>
      <w:tr>
        <w:tc>
          <w:tcPr>
            <w:tcW w:type="dxa" w:w="5400"/>
          </w:tcPr>
          <w:p>
            <w:r>
              <w:rPr>
                <w:sz w:val="20"/>
              </w:rPr>
              <w:t>Media Links - Capital Campaign &amp; Center Video Tour</w:t>
            </w:r>
          </w:p>
        </w:tc>
        <w:tc>
          <w:tcPr>
            <w:tcW w:type="dxa" w:w="5400"/>
          </w:tcPr>
          <w:p>
            <w:r>
              <w:rPr>
                <w:sz w:val="20"/>
              </w:rPr>
            </w:r>
            <w:r>
              <w:rPr>
                <w:color w:val="000000" w:themeColor="hyperlink"/>
                <w:sz w:val="20"/>
                <w:u w:val="single"/>
              </w:rPr>
              <w:hyperlink r:id="rId17">
                <w:r>
                  <w:rPr/>
                  <w:t>ceb0c335-ad4.pdf</w:t>
                </w:r>
              </w:hyperlink>
            </w:r>
          </w:p>
        </w:tc>
      </w:tr>
      <w:tr>
        <w:tc>
          <w:tcPr>
            <w:tcW w:type="dxa" w:w="5400"/>
          </w:tcPr>
          <w:p>
            <w:r>
              <w:rPr>
                <w:sz w:val="20"/>
              </w:rPr>
              <w:t>Capital Construction Project Questionnaire</w:t>
            </w:r>
          </w:p>
        </w:tc>
        <w:tc>
          <w:tcPr>
            <w:tcW w:type="dxa" w:w="5400"/>
          </w:tcPr>
          <w:p>
            <w:r>
              <w:rPr>
                <w:sz w:val="20"/>
              </w:rPr>
            </w:r>
            <w:r>
              <w:rPr>
                <w:color w:val="000000" w:themeColor="hyperlink"/>
                <w:sz w:val="20"/>
                <w:u w:val="single"/>
              </w:rPr>
              <w:hyperlink r:id="rId18">
                <w:r>
                  <w:rPr/>
                  <w:t>45d14579-da1.pdf</w:t>
                </w:r>
              </w:hyperlink>
            </w:r>
          </w:p>
        </w:tc>
      </w:tr>
      <w:tr>
        <w:tc>
          <w:tcPr>
            <w:tcW w:type="dxa" w:w="5400"/>
          </w:tcPr>
          <w:p>
            <w:r>
              <w:rPr>
                <w:sz w:val="20"/>
              </w:rPr>
              <w:t>Letters of Support</w:t>
            </w:r>
          </w:p>
        </w:tc>
        <w:tc>
          <w:tcPr>
            <w:tcW w:type="dxa" w:w="5400"/>
          </w:tcPr>
          <w:p>
            <w:r>
              <w:rPr>
                <w:sz w:val="20"/>
              </w:rPr>
            </w:r>
            <w:r>
              <w:rPr>
                <w:color w:val="000000" w:themeColor="hyperlink"/>
                <w:sz w:val="20"/>
                <w:u w:val="single"/>
              </w:rPr>
              <w:hyperlink r:id="rId19">
                <w:r>
                  <w:rPr/>
                  <w:t>cf28a849-0c5.pdf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Funding amounts in the Activities and Milestones section, Budget Summary section, and Capital Construction Project – Budget Addendum supplemental attachment have been adjusted to reflect the updated, reduced allocation amount. The updates reflect a decrease of $538,000 in ENRFT funding and, to counterbalance this, an increase of $538,000 in local match funds. These additional local match funds are pending, but will be secured prior to any work utilizing ENRTF dollars begins. The additional local match funds will be secured through a combination of continued fundraising by the Club and additional grant seeking by the Club and the City.</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(1) the source and estimated amounts of any revenue and (2) how you propose to use those revenues: </w:t>
      </w:r>
      <w:r>
        <w:br/>
        <w:tab/>
        <w:t>Yes, (1)</w:t>
        <w:tab/>
        <w:t xml:space="preserve">Chester Bowl Improvement Club (Club) is a 501c3 non-profit. The Club’s two primary revenue generating programs are the winter alpine program and summer day camps. As part of their mission to serve all users regardless of income, the Club also awards scholarships to low income families that could not otherwise afford to participate. Summer Camp program fees generated $158,500 in revenue in 2023, with $32,520 of that amount (20%) covered by scholarships. Winter program fees generated $196,000 in program fees over winter 2023/2024, with $25,000 (13%) covered by scholarships. Other sources of significant revenue include special events, donations, and grant support. </w:t>
        <w:br/>
        <w:br/>
        <w:t>(2)</w:t>
        <w:tab/>
        <w:t>As a 501c3, the Club proposes to use all revenue generated over operating expenses to be reinvested into the recreation and environmental education programming operated by the Club out of the Center. This is the model that has been used to date with all program revenue. The expanded Center will allow for increased programming, and therefore increased revenue, and continual reinvestment to support additional scholarships and long-term growth. The revenue will support general programming expenses, including program supplies and staffing salaries, as outlined by the Club’s organizational budget. The Club’s overall operating budget is $590,000.</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 xml:space="preserve">Allison Brooks – City of Duluth Parks Project Coordinator </w:t>
        <w:br/>
        <w:t>Ted Blenkush - City of Duluth Construction Project Coordinator</w:t>
        <w:br/>
        <w:t>Dave Schaeffer - Chester Bowl Improvement Club Executive Director</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150bdbe-b6a.pdf" TargetMode="External"/><Relationship Id="rId13" Type="http://schemas.openxmlformats.org/officeDocument/2006/relationships/hyperlink" Target="https://lccmrprojectmgmt.leg.mn/media/attachments/37bdf06c-810.pdf" TargetMode="External"/><Relationship Id="rId14" Type="http://schemas.openxmlformats.org/officeDocument/2006/relationships/hyperlink" Target="https://lccmrprojectmgmt.leg.mn/media/attachments/e7774513-8db.pdf" TargetMode="External"/><Relationship Id="rId15" Type="http://schemas.openxmlformats.org/officeDocument/2006/relationships/hyperlink" Target="https://lccmrprojectmgmt.leg.mn/media/attachments/751babae-8b8.xlsx" TargetMode="External"/><Relationship Id="rId16" Type="http://schemas.openxmlformats.org/officeDocument/2006/relationships/hyperlink" Target="https://lccmrprojectmgmt.leg.mn/media/attachments/ecb16716-2dd.pdf" TargetMode="External"/><Relationship Id="rId17" Type="http://schemas.openxmlformats.org/officeDocument/2006/relationships/hyperlink" Target="https://lccmrprojectmgmt.leg.mn/media/attachments/ceb0c335-ad4.pdf" TargetMode="External"/><Relationship Id="rId18" Type="http://schemas.openxmlformats.org/officeDocument/2006/relationships/hyperlink" Target="https://lccmrprojectmgmt.leg.mn/media/attachments/45d14579-da1.pdf" TargetMode="External"/><Relationship Id="rId19" Type="http://schemas.openxmlformats.org/officeDocument/2006/relationships/hyperlink" Target="https://lccmrprojectmgmt.leg.mn/media/attachments/cf28a849-0c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Thom Storm Chalet and Outdoor Recreation Center</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