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2025-182</w:t>
      </w:r>
    </w:p>
    <w:p>
      <w:r>
        <w:rPr>
          <w:b/>
        </w:rPr>
        <w:t xml:space="preserve">Staff Lead: </w:t>
      </w:r>
      <w:r>
        <w:t>Mike Campana</w:t>
      </w:r>
    </w:p>
    <w:p>
      <w:r>
        <w:rPr>
          <w:b/>
        </w:rPr>
        <w:t xml:space="preserve">Date this document submitted to LCCMR: </w:t>
      </w:r>
      <w:r>
        <w:t>June 5, 2025</w:t>
      </w:r>
    </w:p>
    <w:p>
      <w:r>
        <w:rPr>
          <w:b/>
        </w:rPr>
        <w:t xml:space="preserve">Project Title: </w:t>
      </w:r>
      <w:r>
        <w:t>Lake Zumbro Park Water Access and Site Improvements</w:t>
      </w:r>
    </w:p>
    <w:p>
      <w:r>
        <w:rPr>
          <w:b/>
        </w:rPr>
        <w:t xml:space="preserve">Project Budget: </w:t>
      </w:r>
      <w:r>
        <w:t>$1,978,000</w:t>
      </w:r>
    </w:p>
    <w:p/>
    <w:p>
      <w:pPr>
        <w:pStyle w:val="Heading2"/>
        <w:spacing w:before="0" w:after="80"/>
      </w:pPr>
      <w:r>
        <w:rPr>
          <w:b/>
          <w:color w:val="2C559C"/>
          <w:sz w:val="28"/>
        </w:rPr>
        <w:t>Project Manager Information</w:t>
      </w:r>
    </w:p>
    <w:p>
      <w:r>
        <w:rPr>
          <w:b/>
        </w:rPr>
        <w:t xml:space="preserve">Name: </w:t>
      </w:r>
      <w:r>
        <w:t>Karlin Ziegler</w:t>
      </w:r>
    </w:p>
    <w:p>
      <w:r>
        <w:rPr>
          <w:b/>
        </w:rPr>
        <w:t xml:space="preserve">Organization: </w:t>
      </w:r>
      <w:r>
        <w:t>Olmsted County</w:t>
      </w:r>
    </w:p>
    <w:p>
      <w:r>
        <w:rPr>
          <w:b/>
        </w:rPr>
        <w:t xml:space="preserve">Office Telephone: </w:t>
      </w:r>
      <w:r>
        <w:t>(507) 328-7086</w:t>
      </w:r>
    </w:p>
    <w:p>
      <w:r>
        <w:rPr>
          <w:b/>
        </w:rPr>
        <w:t xml:space="preserve">Email: </w:t>
      </w:r>
      <w:r>
        <w:t>karlin.ziegler@olmstedcounty.gov</w:t>
      </w:r>
    </w:p>
    <w:p>
      <w:r>
        <w:rPr>
          <w:b/>
        </w:rPr>
        <w:t xml:space="preserve">Web Address: </w:t>
      </w:r>
      <w:r>
        <w:t>https://www.olmstedcounty.gov</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09f</w:t>
      </w:r>
    </w:p>
    <w:p>
      <w:r>
        <w:rPr>
          <w:b/>
        </w:rPr>
        <w:t xml:space="preserve">Appropriation Language: </w:t>
      </w:r>
      <w:r>
        <w:t xml:space="preserve">$1,978,000 the first year is from the trust fund to the commissioner of natural resources for an agreement with Olmsted County to enhance the Lake Zumbro Park water access and the federal Americans with Disabilities Act (ADA) accessibility for boating, fishing, and viewing, while creating new user-friendly and accessible amenities for individuals and families. This may include new fishing docks or piers, restored shoreline, improved parking, and ADA accessible access to an existing kayak and canoe launch.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Objectives of the project are to enhance the park’s water access and ADA accessibility while creating new amenities that are more user-friendly and accessible to individuals and families.</w:t>
      </w:r>
    </w:p>
    <w:p>
      <w:pPr>
        <w:spacing w:after="60"/>
      </w:pPr>
      <w:r>
        <w:rPr>
          <w:b/>
        </w:rPr>
        <w:t>Describe the opportunity or problem your proposal seeks to address. Include any relevant background information.</w:t>
      </w:r>
    </w:p>
    <w:p>
      <w:r>
        <w:t>Lake Zumbro Park is a 4-acre park situated along the banks of Lake Zumbro. Three of the four acres were acquired in 2019 along with buildings and a private launch.  This is the only public boat launch for the lake in Olmsted County, making the Olmsted County launch a heavily used site. The launch is in need of rehabilitation and the parking lot needs grading and space improvements.  Summer days are extremely busy with parking continually overflowing onto the road and ditches. The original one acre parcel transformed a dead end road into parking and fishing piers after the removal and relocation of a bridge. This peninsula area has only had modest improvements over the last 40 years. The fishing pier is a busy spot with avid fishermen, but the current docks are in need of updates.  Several water recreation activities with competing intensity levels are happening in a small area, so placement of these activities need to be spread out and thoughtfully placed.  Lake Zumbro recently had a major dredging project completed and the activity on the lake is continually increasing so the park needs improvements to meet the increasing demands.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Maintaining the site’s ADA accessibility while creating a more welcoming destination with additional facilities and amenities will help meet needs as usage of the park and lake continues to increase. Better use of the land could provide more parking, safer routes, and a more visually appealing park to visit.  The basis of the new design improves on accessibility and the ease of circulation within the site while working to separate motorized and non-motorized lake activities.  The existing dead-end road will be removed, and the parking lot will be moved inland out of the floodplain.  The existing overlooks will be replaced with new docks or piers that will allow users to get out over the water for fishing and viewing lake activity. The public boat launch is a joint effort between Olmsted County and the Department of Natural Resources. The boat launch parking lot will be expanded and the slope of the parking lot will also be addressed to create safer parking and ADA dedicated sites near the launch and picnic areas. The basis of the new design improves on accessibility and the ease of circulation within the site while working to separate motorized and non-motorized lake activities.</w:t>
      </w:r>
    </w:p>
    <w:p>
      <w:pPr>
        <w:spacing w:after="60"/>
      </w:pPr>
      <w:r>
        <w:rPr>
          <w:b/>
        </w:rPr>
        <w:t xml:space="preserve">What are the specific project outcomes as they relate to the public purpose of protection, conservation, preservation, and enhancement of the state’s natural resources? </w:t>
      </w:r>
    </w:p>
    <w:p>
      <w:r>
        <w:t>Some areas of riprap shoreline may be converted to a bioengineered option to provide wildlife habitat and a more natural setting.  The new boat launch and parking lot design will address runoff issues and implement erosion and sediment control plans.  All portions of the projects will have a thoughtful approach to flood mitigation, erosion control and habitat development wherever possible.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Olmsted</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Boat launch and parking lot updates</w:t>
      </w:r>
    </w:p>
    <w:p>
      <w:r>
        <w:rPr>
          <w:b/>
        </w:rPr>
        <w:t xml:space="preserve">Activity Budget: </w:t>
      </w:r>
      <w:r>
        <w:t>$300,000</w:t>
      </w:r>
    </w:p>
    <w:p>
      <w:r>
        <w:rPr>
          <w:b/>
        </w:rPr>
        <w:t xml:space="preserve">Activity Description: </w:t>
        <w:br/>
      </w:r>
      <w:r>
        <w:t>The public boat launch is a joint effort between Olmsted County and DNR.  The boat launch parking lot will be expanded to accommodate the intense summer usage and provide additional truck and trailer spaces.  The concrete launch is in need up updates to maintain a safe public launch by repairing broken concrete and extending concrete planking into the lake so boat trailers do not drop off the end when the lake is at low levels.  The best time to rebuild the launch is in late fall when the lake is drawn down well below normal levels and less water barricades would be needed.  A boat wash station will be installed to rinse off boats when exiting the water to aid in aquatic invasive species management efforts.  The slope and grade of the parking lot will be addressed to provide safer parking and ADA dedicated sites near the launch and picnic shelter.  Runoff from the parking lot will also be addressed by adding catch basins and rain gardens to slow the flow and collect sediment before going into the lake.  Construction level design documents are already complete so work can be bid out shortly after the grant contract is executed.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Consult with SHPO - COMPLETE</w:t>
            </w:r>
          </w:p>
        </w:tc>
        <w:tc>
          <w:tcPr>
            <w:tcW w:type="dxa" w:w="2160"/>
          </w:tcPr>
          <w:p>
            <w:pPr>
              <w:jc w:val="right"/>
            </w:pPr>
            <w:r>
              <w:rPr>
                <w:sz w:val="20"/>
              </w:rPr>
              <w:t>January 31, 2020</w:t>
            </w:r>
          </w:p>
        </w:tc>
      </w:tr>
      <w:tr>
        <w:tc>
          <w:tcPr>
            <w:tcW w:type="dxa" w:w="8640"/>
          </w:tcPr>
          <w:p>
            <w:r>
              <w:rPr>
                <w:sz w:val="20"/>
              </w:rPr>
              <w:t>EAW - COMPLETE</w:t>
            </w:r>
          </w:p>
        </w:tc>
        <w:tc>
          <w:tcPr>
            <w:tcW w:type="dxa" w:w="2160"/>
          </w:tcPr>
          <w:p>
            <w:pPr>
              <w:jc w:val="right"/>
            </w:pPr>
            <w:r>
              <w:rPr>
                <w:sz w:val="20"/>
              </w:rPr>
              <w:t>January 31, 2021</w:t>
            </w:r>
          </w:p>
        </w:tc>
      </w:tr>
      <w:tr>
        <w:tc>
          <w:tcPr>
            <w:tcW w:type="dxa" w:w="8640"/>
          </w:tcPr>
          <w:p>
            <w:r>
              <w:rPr>
                <w:sz w:val="20"/>
              </w:rPr>
              <w:t>ESA checklist - COMLETE</w:t>
            </w:r>
          </w:p>
        </w:tc>
        <w:tc>
          <w:tcPr>
            <w:tcW w:type="dxa" w:w="2160"/>
          </w:tcPr>
          <w:p>
            <w:pPr>
              <w:jc w:val="right"/>
            </w:pPr>
            <w:r>
              <w:rPr>
                <w:sz w:val="20"/>
              </w:rPr>
              <w:t>January 31, 2024</w:t>
            </w:r>
          </w:p>
        </w:tc>
      </w:tr>
      <w:tr>
        <w:tc>
          <w:tcPr>
            <w:tcW w:type="dxa" w:w="8640"/>
          </w:tcPr>
          <w:p>
            <w:r>
              <w:rPr>
                <w:sz w:val="20"/>
              </w:rPr>
              <w:t>EAS - COMPLETE</w:t>
            </w:r>
          </w:p>
        </w:tc>
        <w:tc>
          <w:tcPr>
            <w:tcW w:type="dxa" w:w="2160"/>
          </w:tcPr>
          <w:p>
            <w:pPr>
              <w:jc w:val="right"/>
            </w:pPr>
            <w:r>
              <w:rPr>
                <w:sz w:val="20"/>
              </w:rPr>
              <w:t>May 31, 2024</w:t>
            </w:r>
          </w:p>
        </w:tc>
      </w:tr>
      <w:tr>
        <w:tc>
          <w:tcPr>
            <w:tcW w:type="dxa" w:w="8640"/>
          </w:tcPr>
          <w:p>
            <w:r>
              <w:rPr>
                <w:sz w:val="20"/>
              </w:rPr>
              <w:t>Boat launch rehab</w:t>
            </w:r>
          </w:p>
        </w:tc>
        <w:tc>
          <w:tcPr>
            <w:tcW w:type="dxa" w:w="2160"/>
          </w:tcPr>
          <w:p>
            <w:pPr>
              <w:jc w:val="right"/>
            </w:pPr>
            <w:r>
              <w:rPr>
                <w:sz w:val="20"/>
              </w:rPr>
              <w:t>December 31, 2025</w:t>
            </w:r>
          </w:p>
        </w:tc>
      </w:tr>
      <w:tr>
        <w:tc>
          <w:tcPr>
            <w:tcW w:type="dxa" w:w="8640"/>
          </w:tcPr>
          <w:p>
            <w:r>
              <w:rPr>
                <w:sz w:val="20"/>
              </w:rPr>
              <w:t>Open for Use</w:t>
            </w:r>
          </w:p>
        </w:tc>
        <w:tc>
          <w:tcPr>
            <w:tcW w:type="dxa" w:w="2160"/>
          </w:tcPr>
          <w:p>
            <w:pPr>
              <w:jc w:val="right"/>
            </w:pPr>
            <w:r>
              <w:rPr>
                <w:sz w:val="20"/>
              </w:rPr>
              <w:t>June 30, 2026</w:t>
            </w:r>
          </w:p>
        </w:tc>
      </w:tr>
      <w:tr>
        <w:tc>
          <w:tcPr>
            <w:tcW w:type="dxa" w:w="8640"/>
          </w:tcPr>
          <w:p>
            <w:r>
              <w:rPr>
                <w:sz w:val="20"/>
              </w:rPr>
              <w:t>Sloping and grade work for parking</w:t>
            </w:r>
          </w:p>
        </w:tc>
        <w:tc>
          <w:tcPr>
            <w:tcW w:type="dxa" w:w="2160"/>
          </w:tcPr>
          <w:p>
            <w:pPr>
              <w:jc w:val="right"/>
            </w:pPr>
            <w:r>
              <w:rPr>
                <w:sz w:val="20"/>
              </w:rPr>
              <w:t>July 31, 2026</w:t>
            </w:r>
          </w:p>
        </w:tc>
      </w:tr>
      <w:tr>
        <w:tc>
          <w:tcPr>
            <w:tcW w:type="dxa" w:w="8640"/>
          </w:tcPr>
          <w:p>
            <w:r>
              <w:rPr>
                <w:sz w:val="20"/>
              </w:rPr>
              <w:t>runoff and erosion mitigation areas</w:t>
            </w:r>
          </w:p>
        </w:tc>
        <w:tc>
          <w:tcPr>
            <w:tcW w:type="dxa" w:w="2160"/>
          </w:tcPr>
          <w:p>
            <w:pPr>
              <w:jc w:val="right"/>
            </w:pPr>
            <w:r>
              <w:rPr>
                <w:sz w:val="20"/>
              </w:rPr>
              <w:t>August 31, 2026</w:t>
            </w:r>
          </w:p>
        </w:tc>
      </w:tr>
      <w:tr>
        <w:tc>
          <w:tcPr>
            <w:tcW w:type="dxa" w:w="8640"/>
          </w:tcPr>
          <w:p>
            <w:r>
              <w:rPr>
                <w:sz w:val="20"/>
              </w:rPr>
              <w:t>Parking lot paving and striping</w:t>
            </w:r>
          </w:p>
        </w:tc>
        <w:tc>
          <w:tcPr>
            <w:tcW w:type="dxa" w:w="2160"/>
          </w:tcPr>
          <w:p>
            <w:pPr>
              <w:jc w:val="right"/>
            </w:pPr>
            <w:r>
              <w:rPr>
                <w:sz w:val="20"/>
              </w:rPr>
              <w:t>October 31, 2026</w:t>
            </w:r>
          </w:p>
        </w:tc>
      </w:tr>
      <w:tr>
        <w:tc>
          <w:tcPr>
            <w:tcW w:type="dxa" w:w="8640"/>
          </w:tcPr>
          <w:p>
            <w:r>
              <w:rPr>
                <w:sz w:val="20"/>
              </w:rPr>
              <w:t>Install ENRTF Logo</w:t>
            </w:r>
          </w:p>
        </w:tc>
        <w:tc>
          <w:tcPr>
            <w:tcW w:type="dxa" w:w="2160"/>
          </w:tcPr>
          <w:p>
            <w:pPr>
              <w:jc w:val="right"/>
            </w:pPr>
            <w:r>
              <w:rPr>
                <w:sz w:val="20"/>
              </w:rPr>
              <w:t>October 31, 2026</w:t>
            </w:r>
          </w:p>
        </w:tc>
      </w:tr>
      <w:tr>
        <w:tc>
          <w:tcPr>
            <w:tcW w:type="dxa" w:w="8640"/>
          </w:tcPr>
          <w:p>
            <w:r>
              <w:rPr>
                <w:sz w:val="20"/>
              </w:rPr>
              <w:t>Funds secured</w:t>
            </w:r>
          </w:p>
        </w:tc>
        <w:tc>
          <w:tcPr>
            <w:tcW w:type="dxa" w:w="2160"/>
          </w:tcPr>
          <w:p>
            <w:pPr>
              <w:jc w:val="right"/>
            </w:pPr>
            <w:r>
              <w:rPr>
                <w:sz w:val="20"/>
              </w:rPr>
              <w:t>December 31, 2026</w:t>
            </w:r>
          </w:p>
        </w:tc>
      </w:tr>
      <w:tr>
        <w:tc>
          <w:tcPr>
            <w:tcW w:type="dxa" w:w="8640"/>
          </w:tcPr>
          <w:p>
            <w:r>
              <w:rPr>
                <w:sz w:val="20"/>
              </w:rPr>
              <w:t>Notice of Funding Restriction Recorded</w:t>
            </w:r>
          </w:p>
        </w:tc>
        <w:tc>
          <w:tcPr>
            <w:tcW w:type="dxa" w:w="2160"/>
          </w:tcPr>
          <w:p>
            <w:pPr>
              <w:jc w:val="right"/>
            </w:pPr>
            <w:r>
              <w:rPr>
                <w:sz w:val="20"/>
              </w:rPr>
              <w:t>December 31, 2026</w:t>
            </w:r>
          </w:p>
        </w:tc>
      </w:tr>
    </w:tbl>
    <w:p/>
    <w:p>
      <w:pPr>
        <w:pStyle w:val="Heading3"/>
        <w:spacing w:after="60"/>
      </w:pPr>
      <w:r>
        <w:rPr>
          <w:b/>
          <w:color w:val="254885"/>
          <w:sz w:val="26"/>
        </w:rPr>
        <w:t>Activity 2: Peninsula development</w:t>
      </w:r>
    </w:p>
    <w:p>
      <w:r>
        <w:rPr>
          <w:b/>
        </w:rPr>
        <w:t xml:space="preserve">Activity Budget: </w:t>
      </w:r>
      <w:r>
        <w:t>$1,678,000</w:t>
      </w:r>
    </w:p>
    <w:p>
      <w:r>
        <w:rPr>
          <w:b/>
        </w:rPr>
        <w:t xml:space="preserve">Activity Description: </w:t>
        <w:br/>
      </w:r>
      <w:r>
        <w:t>One of the main features of the park is the fishing on the peninsula. The existing overlooks will be replaced with new docks or piers that will allow the users to get out over the water for fishing and viewing lake activity. Both will provide better access and preferred fishing locations on the newly dredged lake. The piers will also provide overhead shade for the fish underwater.  Some areas of riprap shoreline may be converted to a bioengineered option to provide wildlife habitat and more natural setting.  The naturalized riparian shoreline will include a mixture of plants will help increase biodiversity, control edge erosion, and provide a method to biologically filter the runoff before it reaches the lake. An ADA kayak and canoe launch has already been installed but does not yet have an ADA path to it from the parking lot. The plan would remove the old dead-end road and move parking out of the floodplain.    ADA pathways would connect all of the activities to each other and to the new parking lot.  A picnic shelter and restrooms will be centrally located between the boat launch and peninsula, with a prime location overlooking the lake.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Riparian edge and fishing piers</w:t>
            </w:r>
          </w:p>
        </w:tc>
        <w:tc>
          <w:tcPr>
            <w:tcW w:type="dxa" w:w="2160"/>
          </w:tcPr>
          <w:p>
            <w:pPr>
              <w:jc w:val="right"/>
            </w:pPr>
            <w:r>
              <w:rPr>
                <w:sz w:val="20"/>
              </w:rPr>
              <w:t>July 31, 2026</w:t>
            </w:r>
          </w:p>
        </w:tc>
      </w:tr>
      <w:tr>
        <w:tc>
          <w:tcPr>
            <w:tcW w:type="dxa" w:w="8640"/>
          </w:tcPr>
          <w:p>
            <w:r>
              <w:rPr>
                <w:sz w:val="20"/>
              </w:rPr>
              <w:t>New parking lot and removal of dead end road parking</w:t>
            </w:r>
          </w:p>
        </w:tc>
        <w:tc>
          <w:tcPr>
            <w:tcW w:type="dxa" w:w="2160"/>
          </w:tcPr>
          <w:p>
            <w:pPr>
              <w:jc w:val="right"/>
            </w:pPr>
            <w:r>
              <w:rPr>
                <w:sz w:val="20"/>
              </w:rPr>
              <w:t>September 30, 2026</w:t>
            </w:r>
          </w:p>
        </w:tc>
      </w:tr>
      <w:tr>
        <w:tc>
          <w:tcPr>
            <w:tcW w:type="dxa" w:w="8640"/>
          </w:tcPr>
          <w:p>
            <w:r>
              <w:rPr>
                <w:sz w:val="20"/>
              </w:rPr>
              <w:t>ADA paths and parking lot paving</w:t>
            </w:r>
          </w:p>
        </w:tc>
        <w:tc>
          <w:tcPr>
            <w:tcW w:type="dxa" w:w="2160"/>
          </w:tcPr>
          <w:p>
            <w:pPr>
              <w:jc w:val="right"/>
            </w:pPr>
            <w:r>
              <w:rPr>
                <w:sz w:val="20"/>
              </w:rPr>
              <w:t>October 31, 2026</w:t>
            </w:r>
          </w:p>
        </w:tc>
      </w:tr>
      <w:tr>
        <w:tc>
          <w:tcPr>
            <w:tcW w:type="dxa" w:w="8640"/>
          </w:tcPr>
          <w:p>
            <w:r>
              <w:rPr>
                <w:sz w:val="20"/>
              </w:rPr>
              <w:t>Picnic Shelter and restrooms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Kent Skaar</w:t>
            </w:r>
          </w:p>
        </w:tc>
        <w:tc>
          <w:tcPr>
            <w:tcW w:type="dxa" w:w="1440"/>
          </w:tcPr>
          <w:p>
            <w:r>
              <w:rPr>
                <w:sz w:val="20"/>
              </w:rPr>
              <w:t>MN DNR</w:t>
            </w:r>
          </w:p>
        </w:tc>
        <w:tc>
          <w:tcPr>
            <w:tcW w:type="dxa" w:w="6840"/>
          </w:tcPr>
          <w:p>
            <w:r>
              <w:rPr>
                <w:sz w:val="20"/>
              </w:rPr>
              <w:t>DNR coordinator for the boat launch portion of the project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Olmsted County Parks Department meets several times a year with the cities and townships in which the parks are located.  Updates and information on projects and programming are given to staff and elected officials from township to state level that attend the public meetings.  We also attend annual meetings of the local lake improvement association so information about the project and long-term solutions can be discussed.  Olmsted County has a robust website and up to date information on each of the Parks.  This project will have updates and information related to the construction and management efforts posted on the website to keep residents informed.  Once complete, a page on the website will recap the projects and provide information about restoration and conservation of the area.  Signage at the park will include a QR code link and direction to the website for more information.  The NRTF logo or sign will be installed as part of the signage and information on the website.  The Parks Department has a strong social media presence in order to highlight the project and a press release and media event will be held upon completion of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funding request will complete the entire current master plan of the park. Future recreation or conservation needs will be addressed as they become apparent.  These future projects will be funded by potential grant programs, DNR assistance with the boat launch, and Olmsted County capital improvement funds.  Ongoing annual operational funds for the park will be provide by the Parks Department for the continued general maintenance of the park.</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WSB</w:t>
            </w:r>
          </w:p>
        </w:tc>
        <w:tc>
          <w:tcPr>
            <w:tcW w:type="dxa" w:w="1440"/>
          </w:tcPr>
          <w:p>
            <w:r>
              <w:rPr>
                <w:sz w:val="20"/>
              </w:rPr>
              <w:t>Service Contract</w:t>
            </w:r>
          </w:p>
        </w:tc>
        <w:tc>
          <w:tcPr>
            <w:tcW w:type="dxa" w:w="5472"/>
          </w:tcPr>
          <w:p>
            <w:r>
              <w:rPr>
                <w:sz w:val="20"/>
              </w:rPr>
              <w:t>Design, community engagement, and project management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$118,000</w:t>
            </w:r>
          </w:p>
        </w:tc>
      </w:tr>
      <w:tr>
        <w:tc>
          <w:tcPr>
            <w:tcW w:type="dxa" w:w="864"/>
          </w:tcPr>
          <w:p>
            <w:r>
              <w:rPr>
                <w:sz w:val="20"/>
              </w:rPr>
              <w:t>TBD</w:t>
            </w:r>
          </w:p>
        </w:tc>
        <w:tc>
          <w:tcPr>
            <w:tcW w:type="dxa" w:w="1440"/>
          </w:tcPr>
          <w:p>
            <w:r>
              <w:rPr>
                <w:sz w:val="20"/>
              </w:rPr>
              <w:t>Service Contract</w:t>
            </w:r>
          </w:p>
        </w:tc>
        <w:tc>
          <w:tcPr>
            <w:tcW w:type="dxa" w:w="5472"/>
          </w:tcPr>
          <w:p>
            <w:r>
              <w:rPr>
                <w:sz w:val="20"/>
              </w:rPr>
              <w:t>Site grading, parking, paths, boat launch, and structures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$1,735,000</w:t>
            </w:r>
          </w:p>
        </w:tc>
      </w:tr>
      <w:tr>
        <w:tc>
          <w:tcPr>
            <w:tcW w:type="dxa" w:w="864"/>
          </w:tcPr>
          <w:p>
            <w:r>
              <w:rPr>
                <w:sz w:val="20"/>
              </w:rPr>
              <w:t>TBD</w:t>
            </w:r>
          </w:p>
        </w:tc>
        <w:tc>
          <w:tcPr>
            <w:tcW w:type="dxa" w:w="1440"/>
          </w:tcPr>
          <w:p>
            <w:r>
              <w:rPr>
                <w:sz w:val="20"/>
              </w:rPr>
              <w:t>Service Contract</w:t>
            </w:r>
          </w:p>
        </w:tc>
        <w:tc>
          <w:tcPr>
            <w:tcW w:type="dxa" w:w="5472"/>
          </w:tcPr>
          <w:p>
            <w:r>
              <w:rPr>
                <w:sz w:val="20"/>
              </w:rPr>
              <w:t>Docks/Piers and installation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MN Department of Natural Resources</w:t>
            </w:r>
          </w:p>
        </w:tc>
        <w:tc>
          <w:tcPr>
            <w:tcW w:type="dxa" w:w="6120"/>
          </w:tcPr>
          <w:p>
            <w:r>
              <w:rPr>
                <w:sz w:val="20"/>
              </w:rPr>
              <w:t>Contribution to boat launch and parking updates to which the DNR has jurisdiction</w:t>
            </w:r>
          </w:p>
        </w:tc>
        <w:tc>
          <w:tcPr>
            <w:tcW w:type="dxa" w:w="1080"/>
          </w:tcPr>
          <w:p>
            <w:r>
              <w:rPr>
                <w:sz w:val="20"/>
              </w:rPr>
              <w:t>Pending</w:t>
            </w:r>
          </w:p>
        </w:tc>
        <w:tc>
          <w:tcPr>
            <w:tcW w:type="dxa" w:w="1440"/>
          </w:tcPr>
          <w:p>
            <w:pPr>
              <w:jc w:val="right"/>
            </w:pPr>
            <w:r>
              <w:rPr>
                <w:sz w:val="20"/>
              </w:rPr>
              <w:t>$800,000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Olmsted County CIP</w:t>
            </w:r>
          </w:p>
        </w:tc>
        <w:tc>
          <w:tcPr>
            <w:tcW w:type="dxa" w:w="6120"/>
          </w:tcPr>
          <w:p>
            <w:r>
              <w:rPr>
                <w:sz w:val="20"/>
              </w:rPr>
              <w:t>Contingency Funds, design, fixtures and signage</w:t>
            </w:r>
          </w:p>
        </w:tc>
        <w:tc>
          <w:tcPr>
            <w:tcW w:type="dxa" w:w="1080"/>
          </w:tcPr>
          <w:p>
            <w:r>
              <w:rPr>
                <w:sz w:val="20"/>
              </w:rPr>
              <w:t>Secured</w:t>
            </w:r>
          </w:p>
        </w:tc>
        <w:tc>
          <w:tcPr>
            <w:tcW w:type="dxa" w:w="1440"/>
          </w:tcPr>
          <w:p>
            <w:pPr>
              <w:jc w:val="right"/>
            </w:pPr>
            <w:r>
              <w:rPr>
                <w:sz w:val="20"/>
              </w:rPr>
              <w:t>$440,000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$1,240,000</w:t>
            </w:r>
          </w:p>
        </w:tc>
      </w:tr>
    </w:tbl>
    <w:p/>
    <w:p>
      <w:r>
        <w:rPr>
          <w:b/>
        </w:rPr>
        <w:t>Total Project Cost: $3,218,000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081d6449-6aa.docx</w:t>
          </w:r>
        </w:hyperlink>
      </w:r>
    </w:p>
    <w:p>
      <w:pPr>
        <w:pStyle w:val="Heading4"/>
        <w:spacing w:before="40" w:after="20"/>
      </w:pPr>
      <w:r>
        <w:rPr>
          <w:b/>
          <w:i/>
          <w:color w:val="000000"/>
          <w:sz w:val="24"/>
        </w:rPr>
        <w:t>Alternate Text for Visual Component</w:t>
      </w:r>
    </w:p>
    <w:p>
      <w:r>
        <w:t>Site plan and aerial photo...</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Auditor report and financial statement</w:t>
            </w:r>
          </w:p>
        </w:tc>
        <w:tc>
          <w:tcPr>
            <w:tcW w:type="dxa" w:w="5400"/>
          </w:tcPr>
          <w:p>
            <w:r>
              <w:rPr>
                <w:sz w:val="20"/>
              </w:rPr>
            </w:r>
            <w:r>
              <w:rPr>
                <w:color w:val="000000" w:themeColor="hyperlink"/>
                <w:sz w:val="20"/>
                <w:u w:val="single"/>
              </w:rPr>
              <w:hyperlink r:id="rId13">
                <w:r>
                  <w:rPr/>
                  <w:t>13ee590d-268.pdf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Board Resolution</w:t>
            </w:r>
          </w:p>
        </w:tc>
        <w:tc>
          <w:tcPr>
            <w:tcW w:type="dxa" w:w="5400"/>
          </w:tcPr>
          <w:p>
            <w:r>
              <w:rPr>
                <w:sz w:val="20"/>
              </w:rPr>
            </w:r>
            <w:r>
              <w:rPr>
                <w:color w:val="000000" w:themeColor="hyperlink"/>
                <w:sz w:val="20"/>
                <w:u w:val="single"/>
              </w:rPr>
              <w:hyperlink r:id="rId14">
                <w:r>
                  <w:rPr/>
                  <w:t>b90c435a-5bf.pdf</w:t>
                </w:r>
              </w:hyperlink>
            </w:r>
          </w:p>
        </w:tc>
      </w:tr>
      <w:tr>
        <w:tc>
          <w:tcPr>
            <w:tcW w:type="dxa" w:w="5400"/>
          </w:tcPr>
          <w:p>
            <w:r>
              <w:rPr>
                <w:sz w:val="20"/>
              </w:rPr>
              <w:t>Revised County Board Resolution - August 2024</w:t>
            </w:r>
          </w:p>
        </w:tc>
        <w:tc>
          <w:tcPr>
            <w:tcW w:type="dxa" w:w="5400"/>
          </w:tcPr>
          <w:p>
            <w:r>
              <w:rPr>
                <w:sz w:val="20"/>
              </w:rPr>
            </w:r>
            <w:r>
              <w:rPr>
                <w:color w:val="000000" w:themeColor="hyperlink"/>
                <w:sz w:val="20"/>
                <w:u w:val="single"/>
              </w:rPr>
              <w:hyperlink r:id="rId15">
                <w:r>
                  <w:rPr/>
                  <w:t>3e3d034b-433.pdf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Construction Project Questionnaire</w:t>
            </w:r>
          </w:p>
        </w:tc>
        <w:tc>
          <w:tcPr>
            <w:tcW w:type="dxa" w:w="5400"/>
          </w:tcPr>
          <w:p>
            <w:r>
              <w:rPr>
                <w:sz w:val="20"/>
              </w:rPr>
            </w:r>
            <w:r>
              <w:rPr>
                <w:color w:val="000000" w:themeColor="hyperlink"/>
                <w:sz w:val="20"/>
                <w:u w:val="single"/>
              </w:rPr>
              <w:hyperlink r:id="rId16">
                <w:r>
                  <w:rPr/>
                  <w:t>36dafbe3-ead.pdf</w:t>
                </w:r>
              </w:hyperlink>
            </w:r>
          </w:p>
        </w:tc>
      </w:tr>
      <w:tr>
        <w:tc>
          <w:tcPr>
            <w:tcW w:type="dxa" w:w="5400"/>
          </w:tcPr>
          <w:p>
            <w:r>
              <w:rPr>
                <w:sz w:val="20"/>
              </w:rPr>
              <w:t>Archeology Report</w:t>
            </w:r>
          </w:p>
        </w:tc>
        <w:tc>
          <w:tcPr>
            <w:tcW w:type="dxa" w:w="5400"/>
          </w:tcPr>
          <w:p>
            <w:r>
              <w:rPr>
                <w:sz w:val="20"/>
              </w:rPr>
            </w:r>
            <w:r>
              <w:rPr>
                <w:color w:val="000000" w:themeColor="hyperlink"/>
                <w:sz w:val="20"/>
                <w:u w:val="single"/>
              </w:rPr>
              <w:hyperlink r:id="rId17">
                <w:r>
                  <w:rPr/>
                  <w:t>ca990de4-327.pdf</w:t>
                </w:r>
              </w:hyperlink>
            </w:r>
          </w:p>
        </w:tc>
      </w:tr>
      <w:tr>
        <w:tc>
          <w:tcPr>
            <w:tcW w:type="dxa" w:w="5400"/>
          </w:tcPr>
          <w:p>
            <w:r>
              <w:rPr>
                <w:sz w:val="20"/>
              </w:rPr>
              <w:t>SHPO letter with findings highlighted- (property was previously named White Bridge Pier)</w:t>
            </w:r>
          </w:p>
        </w:tc>
        <w:tc>
          <w:tcPr>
            <w:tcW w:type="dxa" w:w="5400"/>
          </w:tcPr>
          <w:p>
            <w:r>
              <w:rPr>
                <w:sz w:val="20"/>
              </w:rPr>
            </w:r>
            <w:r>
              <w:rPr>
                <w:color w:val="000000" w:themeColor="hyperlink"/>
                <w:sz w:val="20"/>
                <w:u w:val="single"/>
              </w:rPr>
              <w:hyperlink r:id="rId18">
                <w:r>
                  <w:rPr/>
                  <w:t>125c7c3d-e33.pdf</w:t>
                </w:r>
              </w:hyperlink>
            </w:r>
          </w:p>
        </w:tc>
      </w:tr>
      <w:tr>
        <w:tc>
          <w:tcPr>
            <w:tcW w:type="dxa" w:w="5400"/>
          </w:tcPr>
          <w:p>
            <w:r>
              <w:rPr>
                <w:sz w:val="20"/>
              </w:rPr>
              <w:t>Park boundaries map</w:t>
            </w:r>
          </w:p>
        </w:tc>
        <w:tc>
          <w:tcPr>
            <w:tcW w:type="dxa" w:w="5400"/>
          </w:tcPr>
          <w:p>
            <w:r>
              <w:rPr>
                <w:sz w:val="20"/>
              </w:rPr>
            </w:r>
            <w:r>
              <w:rPr>
                <w:color w:val="000000" w:themeColor="hyperlink"/>
                <w:sz w:val="20"/>
                <w:u w:val="single"/>
              </w:rPr>
              <w:hyperlink r:id="rId19">
                <w:r>
                  <w:rPr/>
                  <w:t>95cfef00-fe0.pdf</w:t>
                </w:r>
              </w:hyperlink>
            </w:r>
          </w:p>
        </w:tc>
      </w:tr>
      <w:tr>
        <w:tc>
          <w:tcPr>
            <w:tcW w:type="dxa" w:w="5400"/>
          </w:tcPr>
          <w:p>
            <w:r>
              <w:rPr>
                <w:sz w:val="20"/>
              </w:rPr>
              <w:t>map of 1200 scale location on the lake</w:t>
            </w:r>
          </w:p>
        </w:tc>
        <w:tc>
          <w:tcPr>
            <w:tcW w:type="dxa" w:w="5400"/>
          </w:tcPr>
          <w:p>
            <w:r>
              <w:rPr>
                <w:sz w:val="20"/>
              </w:rPr>
            </w:r>
            <w:r>
              <w:rPr>
                <w:color w:val="000000" w:themeColor="hyperlink"/>
                <w:sz w:val="20"/>
                <w:u w:val="single"/>
              </w:rPr>
              <w:hyperlink r:id="rId20">
                <w:r>
                  <w:rPr/>
                  <w:t>e8400229-bba.pdf</w:t>
                </w:r>
              </w:hyperlink>
            </w:r>
          </w:p>
        </w:tc>
      </w:tr>
      <w:tr>
        <w:tc>
          <w:tcPr>
            <w:tcW w:type="dxa" w:w="5400"/>
          </w:tcPr>
          <w:p>
            <w:r>
              <w:rPr>
                <w:sz w:val="20"/>
              </w:rPr>
              <w:t>Regional map</w:t>
            </w:r>
          </w:p>
        </w:tc>
        <w:tc>
          <w:tcPr>
            <w:tcW w:type="dxa" w:w="5400"/>
          </w:tcPr>
          <w:p>
            <w:r>
              <w:rPr>
                <w:sz w:val="20"/>
              </w:rPr>
            </w:r>
            <w:r>
              <w:rPr>
                <w:color w:val="000000" w:themeColor="hyperlink"/>
                <w:sz w:val="20"/>
                <w:u w:val="single"/>
              </w:rPr>
              <w:hyperlink r:id="rId21">
                <w:r>
                  <w:rPr/>
                  <w:t>0390647d-3a0.docx</w:t>
                </w:r>
              </w:hyperlink>
            </w:r>
          </w:p>
        </w:tc>
      </w:tr>
      <w:tr>
        <w:tc>
          <w:tcPr>
            <w:tcW w:type="dxa" w:w="5400"/>
          </w:tcPr>
          <w:p>
            <w:r>
              <w:rPr>
                <w:sz w:val="20"/>
              </w:rPr>
              <w:t>Capital Construction Budget Addendum 8-14-24</w:t>
            </w:r>
          </w:p>
        </w:tc>
        <w:tc>
          <w:tcPr>
            <w:tcW w:type="dxa" w:w="5400"/>
          </w:tcPr>
          <w:p>
            <w:r>
              <w:rPr>
                <w:sz w:val="20"/>
              </w:rPr>
            </w:r>
            <w:r>
              <w:rPr>
                <w:color w:val="000000" w:themeColor="hyperlink"/>
                <w:sz w:val="20"/>
                <w:u w:val="single"/>
              </w:rPr>
              <w:hyperlink r:id="rId22">
                <w:r>
                  <w:rPr/>
                  <w:t>9039e51e-e33.xlsx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Design and cost estimates were adjusted in minor areas of recreation support to accommodate the proposed funding amount.  The County's matching funds were increased to ensure a sustainable design.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Olmsted County Finance</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Camy Iverson, Olmsted County Finance</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81d6449-6aa.docx" TargetMode="External"/><Relationship Id="rId13" Type="http://schemas.openxmlformats.org/officeDocument/2006/relationships/hyperlink" Target="https://lccmrprojectmgmt.leg.mn/media/attachments/13ee590d-268.pdf" TargetMode="External"/><Relationship Id="rId14" Type="http://schemas.openxmlformats.org/officeDocument/2006/relationships/hyperlink" Target="https://lccmrprojectmgmt.leg.mn/media/attachments/b90c435a-5bf.pdf" TargetMode="External"/><Relationship Id="rId15" Type="http://schemas.openxmlformats.org/officeDocument/2006/relationships/hyperlink" Target="https://lccmrprojectmgmt.leg.mn/media/attachments/3e3d034b-433.pdf" TargetMode="External"/><Relationship Id="rId16" Type="http://schemas.openxmlformats.org/officeDocument/2006/relationships/hyperlink" Target="https://lccmrprojectmgmt.leg.mn/media/attachments/36dafbe3-ead.pdf" TargetMode="External"/><Relationship Id="rId17" Type="http://schemas.openxmlformats.org/officeDocument/2006/relationships/hyperlink" Target="https://lccmrprojectmgmt.leg.mn/media/attachments/ca990de4-327.pdf" TargetMode="External"/><Relationship Id="rId18" Type="http://schemas.openxmlformats.org/officeDocument/2006/relationships/hyperlink" Target="https://lccmrprojectmgmt.leg.mn/media/attachments/125c7c3d-e33.pdf" TargetMode="External"/><Relationship Id="rId19" Type="http://schemas.openxmlformats.org/officeDocument/2006/relationships/hyperlink" Target="https://lccmrprojectmgmt.leg.mn/media/attachments/95cfef00-fe0.pdf" TargetMode="External"/><Relationship Id="rId20" Type="http://schemas.openxmlformats.org/officeDocument/2006/relationships/hyperlink" Target="https://lccmrprojectmgmt.leg.mn/media/attachments/e8400229-bba.pdf" TargetMode="External"/><Relationship Id="rId21" Type="http://schemas.openxmlformats.org/officeDocument/2006/relationships/hyperlink" Target="https://lccmrprojectmgmt.leg.mn/media/attachments/0390647d-3a0.docx" TargetMode="External"/><Relationship Id="rId22" Type="http://schemas.openxmlformats.org/officeDocument/2006/relationships/hyperlink" Target="https://lccmrprojectmgmt.leg.mn/media/attachments/9039e51e-e3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Lake Zumbro Park Water Access and Site Improvements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