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2025-169</w:t>
      </w:r>
    </w:p>
    <w:p>
      <w:r>
        <w:rPr>
          <w:b/>
        </w:rPr>
        <w:t xml:space="preserve">Staff Lead: </w:t>
      </w:r>
      <w:r>
        <w:t>Tom Dietrich</w:t>
      </w:r>
    </w:p>
    <w:p>
      <w:r>
        <w:rPr>
          <w:b/>
        </w:rPr>
        <w:t xml:space="preserve">Date this document submitted to LCCMR: </w:t>
      </w:r>
      <w:r>
        <w:t>June 11, 2025</w:t>
      </w:r>
    </w:p>
    <w:p>
      <w:r>
        <w:rPr>
          <w:b/>
        </w:rPr>
        <w:t xml:space="preserve">Project Title: </w:t>
      </w:r>
      <w:r>
        <w:t>Modeling the Future Mississippi River Gorge</w:t>
      </w:r>
    </w:p>
    <w:p>
      <w:r>
        <w:rPr>
          <w:b/>
        </w:rPr>
        <w:t xml:space="preserve">Project Budget: </w:t>
      </w:r>
      <w:r>
        <w:t>$427,000</w:t>
      </w:r>
    </w:p>
    <w:p/>
    <w:p>
      <w:pPr>
        <w:pStyle w:val="Heading2"/>
        <w:spacing w:before="0" w:after="80"/>
      </w:pPr>
      <w:r>
        <w:rPr>
          <w:b/>
          <w:color w:val="2C559C"/>
          <w:sz w:val="28"/>
        </w:rPr>
        <w:t>Project Manager Information</w:t>
      </w:r>
    </w:p>
    <w:p>
      <w:r>
        <w:rPr>
          <w:b/>
        </w:rPr>
        <w:t xml:space="preserve">Name: </w:t>
      </w:r>
      <w:r>
        <w:t>Jeffrey Marr</w:t>
      </w:r>
    </w:p>
    <w:p>
      <w:r>
        <w:rPr>
          <w:b/>
        </w:rPr>
        <w:t xml:space="preserve">Organization: </w:t>
      </w:r>
      <w:r>
        <w:t>U of MN - St. Anthony Falls Laboratory</w:t>
      </w:r>
    </w:p>
    <w:p>
      <w:r>
        <w:rPr>
          <w:b/>
        </w:rPr>
        <w:t xml:space="preserve">Office Telephone: </w:t>
      </w:r>
      <w:r>
        <w:t>(612) 624-4427</w:t>
      </w:r>
    </w:p>
    <w:p>
      <w:r>
        <w:rPr>
          <w:b/>
        </w:rPr>
        <w:t xml:space="preserve">Email: </w:t>
      </w:r>
      <w:r>
        <w:t>marrx003@umn.edu</w:t>
      </w:r>
    </w:p>
    <w:p>
      <w:r>
        <w:rPr>
          <w:b/>
        </w:rPr>
        <w:t xml:space="preserve">Web Address: </w:t>
      </w:r>
      <w:r>
        <w:t>https://www.safl.umn.edu/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04n</w:t>
      </w:r>
    </w:p>
    <w:p>
      <w:r>
        <w:rPr>
          <w:b/>
        </w:rPr>
        <w:t xml:space="preserve">Appropriation Language: </w:t>
      </w:r>
      <w:r>
        <w:t xml:space="preserve">$427,000 the first year is from the trust fund to the Board of Regents of the University of Minnesota, St. Anthony Falls Laboratory, to construct a reduced-scale physical model of Mississippi River Pool 1, Lock &amp; Dam 1, and adjacent upstream and downstream reaches; analyze water flow and sediment movement under various pool management strategies; and share results with the public to inform decisions on the future management of the lock and dam.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A reduced-scale physical model of Mississippi River Pool 1 and Lock &amp; Dam 1 will be constructed to study water flow and sediment movement under various pool management strategies.</w:t>
      </w:r>
    </w:p>
    <w:p>
      <w:pPr>
        <w:spacing w:after="60"/>
      </w:pPr>
      <w:r>
        <w:rPr>
          <w:b/>
        </w:rPr>
        <w:t>Describe the opportunity or problem your proposal seeks to address. Include any relevant background information.</w:t>
      </w:r>
    </w:p>
    <w:p>
      <w:r>
        <w:t xml:space="preserve">On June 10, 2015, the Upper St. Anthony Falls Lock permanently closed to navigation, limiting the need for the Lower St. Anthony Falls Lock &amp; Dam and Lock &amp; Dam No. 1. The Corps of Engineers is now considering the disposition of all three. The Upper St. Anthony Falls Dam cannot be removed, but we have a choice about whether the other two locks and dams remain or are removed. </w:t>
        <w:br/>
        <w:br/>
        <w:t xml:space="preserve">For the first time since the Twin Cities began, Minnesotans have a chance to reconsider our relationship with the Mississippi River. We can choose a new relationship with the river, or we can reaffirm earlier visions. We must, however, choose between three options: leave the locks and dams in place with no navigation, modify them, or remove them. </w:t>
        <w:br/>
        <w:br/>
        <w:t>One critical concern is what happens to the sediment above Lock &amp; Dam No. 1. Some worry that if it is removed, the sediment released will increase dredging in Pool 2. Others fear Lake Pepin or downstream marinas could fill in faster. Still others worry about releasing sediment containing hazardous materials or impacts to native mussel or fish habitat. To make the best decisions, we need robust science on the impacts of proposed changes.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project will create an accurate physical model of the project area. Physical models are carefully designed to replicate the geometry of the river and capture riverine processes including water velocity, erosive forces, and sediment erosion and deposition. These models are powerful tools to examine future scenarios, not only for science, but for communication, enabling visualization of changes to the riverine landscape following management changes. The model will be constructed at UMN’s St. Anthony Falls Laboratory and will be used as a research tool to examine how the various proposed changes to LD1 may impact pool elevation, river velocities, and the erosion and transport of the estimated 2.8 million yd3 of gravel and sand stored in Pool 1 upstream of the dam. The model will leverage existing data collection technologies at SAFL specifically designed for physical modeling and we will prepare a detailed technical report summarizing the research. In addition to technical reports, we will also produce video summaries of the various experiments and the project will provide opportunities for stakeholders to see firsthand the operation of the model through public tours and demonstrations.</w:t>
      </w:r>
    </w:p>
    <w:p>
      <w:pPr>
        <w:spacing w:after="60"/>
      </w:pPr>
      <w:r>
        <w:rPr>
          <w:b/>
        </w:rPr>
        <w:t xml:space="preserve">What are the specific project outcomes as they relate to the public purpose of protection, conservation, preservation, and enhancement of the state’s natural resources? </w:t>
      </w:r>
    </w:p>
    <w:p>
      <w:r>
        <w:t>Over the next several years, citizens will have the unprecedented opportunity to re-envision our relationship with the Mississippi River within the Twin Cities and participate in decision-making that will impact recreation, habitat, water quality, and infrastructure for decades to come. This research will re-connect citizens to 150 years of past changes to the river and will provide technical information, benefits, challenges, and tradeoffs of the most likely management pathways’ effects on riverine processes. Specifically, the research will provide technical knowledge on the possible impacts of sand and gravel remobilization with Pool1 and impacting Pool 2.</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Final scoping, model design, and model construction.</w:t>
      </w:r>
    </w:p>
    <w:p>
      <w:r>
        <w:rPr>
          <w:b/>
        </w:rPr>
        <w:t xml:space="preserve">Activity Budget: </w:t>
      </w:r>
      <w:r>
        <w:t>$190,400</w:t>
      </w:r>
    </w:p>
    <w:p>
      <w:r>
        <w:rPr>
          <w:b/>
        </w:rPr>
        <w:t xml:space="preserve">Activity Description: </w:t>
        <w:br/>
      </w:r>
      <w:r>
        <w:t>The objective of Activity 1 is commissioning of a physical model of LD1 and adjacent upstream and downstream river reaches.</w:t>
        <w:br/>
        <w:br/>
        <w:t>The initial task will involve meetings with the project’s Advisory Committee to finalize the details of the modeling effort, determine the model extents, and identify key scenarios of the study. Additionally, we will convene a meeting with the USACE disposition study team to gain input on the modeling effort.</w:t>
        <w:br/>
        <w:br/>
        <w:t>The next task will involve design of the model. We will use existing topography and bathymetric data sets and replicate key structures within the river. For LD1 we will model the two auxiliary locks, the spillway, and powerhouse. We will use a distorted Froude model, which will allow us to incorporate the ability to model sediment erosion and transport (sand and gravel) to highlight areas prone to erosion or deposition as sediment moves under different scenarios.</w:t>
        <w:br/>
        <w:br/>
        <w:t>The model will be constructed at UMN-SAFL by the Applied Research team. The hydraulics of the model will use physics-based scaling allowing us to replicate a range of water flow and sediment transport conditions in the river. Fine sand will be added to the model to simulate the non-cohesive sediment captured in Pool 1.</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Design and scoping meeting involve Advisory Committee.</w:t>
            </w:r>
          </w:p>
        </w:tc>
        <w:tc>
          <w:tcPr>
            <w:tcW w:type="dxa" w:w="2160"/>
          </w:tcPr>
          <w:p>
            <w:pPr>
              <w:jc w:val="right"/>
            </w:pPr>
            <w:r>
              <w:rPr>
                <w:sz w:val="20"/>
              </w:rPr>
              <w:t>September 30, 2025</w:t>
            </w:r>
          </w:p>
        </w:tc>
      </w:tr>
      <w:tr>
        <w:tc>
          <w:tcPr>
            <w:tcW w:type="dxa" w:w="8640"/>
          </w:tcPr>
          <w:p>
            <w:r>
              <w:rPr>
                <w:sz w:val="20"/>
              </w:rPr>
              <w:t>Physical model design.</w:t>
            </w:r>
          </w:p>
        </w:tc>
        <w:tc>
          <w:tcPr>
            <w:tcW w:type="dxa" w:w="2160"/>
          </w:tcPr>
          <w:p>
            <w:pPr>
              <w:jc w:val="right"/>
            </w:pPr>
            <w:r>
              <w:rPr>
                <w:sz w:val="20"/>
              </w:rPr>
              <w:t>October 31, 2025</w:t>
            </w:r>
          </w:p>
        </w:tc>
      </w:tr>
      <w:tr>
        <w:tc>
          <w:tcPr>
            <w:tcW w:type="dxa" w:w="8640"/>
          </w:tcPr>
          <w:p>
            <w:r>
              <w:rPr>
                <w:sz w:val="20"/>
              </w:rPr>
              <w:t>Model construction and commissioning.</w:t>
            </w:r>
          </w:p>
        </w:tc>
        <w:tc>
          <w:tcPr>
            <w:tcW w:type="dxa" w:w="2160"/>
          </w:tcPr>
          <w:p>
            <w:pPr>
              <w:jc w:val="right"/>
            </w:pPr>
            <w:r>
              <w:rPr>
                <w:sz w:val="20"/>
              </w:rPr>
              <w:t>May 31, 2026</w:t>
            </w:r>
          </w:p>
        </w:tc>
      </w:tr>
    </w:tbl>
    <w:p/>
    <w:p>
      <w:pPr>
        <w:pStyle w:val="Heading3"/>
        <w:spacing w:after="60"/>
      </w:pPr>
      <w:r>
        <w:rPr>
          <w:b/>
          <w:color w:val="254885"/>
          <w:sz w:val="26"/>
        </w:rPr>
        <w:t>Activity 2: Model river flow and sediment transport within the Mississippi River gorge.</w:t>
      </w:r>
    </w:p>
    <w:p>
      <w:r>
        <w:rPr>
          <w:b/>
        </w:rPr>
        <w:t xml:space="preserve">Activity Budget: </w:t>
      </w:r>
      <w:r>
        <w:t>$123,935</w:t>
      </w:r>
    </w:p>
    <w:p>
      <w:r>
        <w:rPr>
          <w:b/>
        </w:rPr>
        <w:t xml:space="preserve">Activity Description: </w:t>
        <w:br/>
      </w:r>
      <w:r>
        <w:t xml:space="preserve">We will perform experiments in the model to quantify and visualize how the Mississippi River will respond to possible future scenarios within Pool 1. </w:t>
        <w:br/>
        <w:br/>
        <w:t xml:space="preserve">The first experiments will simulate current configurations of LD1, lock chambers, and the hydropower power station operating under the pool management protocols currently used by the USACE. Over a two-month period of time, we will explore a range of river discharge and pool management situations. Following this, we will perform experiments that involve lowering the elevation of Pool 1, either with LD1 in place or removed. These scenarios will study how gravel and sand currently deposited in Pool 1 (estimated to be over 2.5 million yd3) are eroded during pool drawdown and move downstream. We will seek to quantify the erosion rates, erosional hotspots, and processes. The final scenario will consider full removal of LD1 and elimination of Pool 1 and will be allowed to reach an equilibrium channel profile. </w:t>
        <w:br/>
        <w:br/>
        <w:t>For all experiments, data will be collected on hydraulics, flow velocities, and water and riverbed slopes. Detailed topographic and bathymetric maps will be generated using SAFL's laser topographic scanning system. We will estimate the quantities and rates of sediment movement and potential benefits and impacts.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Complete experiments on baseline scenario (existing condition).</w:t>
            </w:r>
          </w:p>
        </w:tc>
        <w:tc>
          <w:tcPr>
            <w:tcW w:type="dxa" w:w="2160"/>
          </w:tcPr>
          <w:p>
            <w:pPr>
              <w:jc w:val="right"/>
            </w:pPr>
            <w:r>
              <w:rPr>
                <w:sz w:val="20"/>
              </w:rPr>
              <w:t>August 31, 2026</w:t>
            </w:r>
          </w:p>
        </w:tc>
      </w:tr>
      <w:tr>
        <w:tc>
          <w:tcPr>
            <w:tcW w:type="dxa" w:w="8640"/>
          </w:tcPr>
          <w:p>
            <w:r>
              <w:rPr>
                <w:sz w:val="20"/>
              </w:rPr>
              <w:t>Complete experiments on active lowering of Pool1 and impact on sediment erosion.</w:t>
            </w:r>
          </w:p>
        </w:tc>
        <w:tc>
          <w:tcPr>
            <w:tcW w:type="dxa" w:w="2160"/>
          </w:tcPr>
          <w:p>
            <w:pPr>
              <w:jc w:val="right"/>
            </w:pPr>
            <w:r>
              <w:rPr>
                <w:sz w:val="20"/>
              </w:rPr>
              <w:t>December 31, 2026</w:t>
            </w:r>
          </w:p>
        </w:tc>
      </w:tr>
      <w:tr>
        <w:tc>
          <w:tcPr>
            <w:tcW w:type="dxa" w:w="8640"/>
          </w:tcPr>
          <w:p>
            <w:r>
              <w:rPr>
                <w:sz w:val="20"/>
              </w:rPr>
              <w:t>Complete experiments on removal of LD1 and elimination of Pool 1.</w:t>
            </w:r>
          </w:p>
        </w:tc>
        <w:tc>
          <w:tcPr>
            <w:tcW w:type="dxa" w:w="2160"/>
          </w:tcPr>
          <w:p>
            <w:pPr>
              <w:jc w:val="right"/>
            </w:pPr>
            <w:r>
              <w:rPr>
                <w:sz w:val="20"/>
              </w:rPr>
              <w:t>February 28, 2027</w:t>
            </w:r>
          </w:p>
        </w:tc>
      </w:tr>
    </w:tbl>
    <w:p/>
    <w:p>
      <w:pPr>
        <w:pStyle w:val="Heading3"/>
        <w:spacing w:after="60"/>
      </w:pPr>
      <w:r>
        <w:rPr>
          <w:b/>
          <w:color w:val="254885"/>
          <w:sz w:val="26"/>
        </w:rPr>
        <w:t>Activity 3: Develop technical report and visual summaries and communicate results to stakeholders.</w:t>
      </w:r>
    </w:p>
    <w:p>
      <w:r>
        <w:rPr>
          <w:b/>
        </w:rPr>
        <w:t xml:space="preserve">Activity Budget: </w:t>
      </w:r>
      <w:r>
        <w:t>$112,665</w:t>
      </w:r>
    </w:p>
    <w:p>
      <w:r>
        <w:rPr>
          <w:b/>
        </w:rPr>
        <w:t xml:space="preserve">Activity Description: </w:t>
        <w:br/>
      </w:r>
      <w:r>
        <w:t>In this activity, we will spend time analyzing data collected during the modeling experiments and develop a final report of findings. The report will summarize the model construction, data collection, modeling scenarios, and findings. Key questions we hope to answer with the data are:</w:t>
        <w:br/>
        <w:t>1.</w:t>
        <w:tab/>
        <w:t>How much sand/gravel is eroded and how quickly does it move downstream?</w:t>
        <w:br/>
        <w:t>2.</w:t>
        <w:tab/>
        <w:t>What are the primary processes of erosion and where are the locations of erosional hotspots?</w:t>
        <w:br/>
        <w:t>3.</w:t>
        <w:tab/>
        <w:t>Are there ways to control the rate and locations of erosion by how Pool 1 is lowered?</w:t>
        <w:br/>
        <w:br/>
        <w:t>The report will provide a discussion of possible environmental impacts based on our research:</w:t>
        <w:br/>
        <w:t>-</w:t>
        <w:tab/>
        <w:t>What are negative and positive environmental impacts associated with these changes?</w:t>
        <w:br/>
        <w:t>-</w:t>
        <w:tab/>
        <w:t>What are short-term (1-10 years) and long-term impacts (10-100 years) of these changes?</w:t>
        <w:br/>
        <w:t>-</w:t>
        <w:tab/>
        <w:t>What additional areas of study are needed?</w:t>
        <w:br/>
        <w:br/>
        <w:t>The modeling will also produce hours of visual content. In this activity, we will work with a media specialist to develop a narrated summary of the research and findings. A draft final report and visuals will be provided to our Advisory Committee for review and comments. The report will then be finalized and published through the UMN’s Digital Conservancy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Analysis of data and video content.</w:t>
            </w:r>
          </w:p>
        </w:tc>
        <w:tc>
          <w:tcPr>
            <w:tcW w:type="dxa" w:w="2160"/>
          </w:tcPr>
          <w:p>
            <w:pPr>
              <w:jc w:val="right"/>
            </w:pPr>
            <w:r>
              <w:rPr>
                <w:sz w:val="20"/>
              </w:rPr>
              <w:t>February 28, 2027</w:t>
            </w:r>
          </w:p>
        </w:tc>
      </w:tr>
      <w:tr>
        <w:tc>
          <w:tcPr>
            <w:tcW w:type="dxa" w:w="8640"/>
          </w:tcPr>
          <w:p>
            <w:r>
              <w:rPr>
                <w:sz w:val="20"/>
              </w:rPr>
              <w:t>Develop a narrated video summary of the research project.</w:t>
            </w:r>
          </w:p>
        </w:tc>
        <w:tc>
          <w:tcPr>
            <w:tcW w:type="dxa" w:w="2160"/>
          </w:tcPr>
          <w:p>
            <w:pPr>
              <w:jc w:val="right"/>
            </w:pPr>
            <w:r>
              <w:rPr>
                <w:sz w:val="20"/>
              </w:rPr>
              <w:t>June 30, 2027</w:t>
            </w:r>
          </w:p>
        </w:tc>
      </w:tr>
      <w:tr>
        <w:tc>
          <w:tcPr>
            <w:tcW w:type="dxa" w:w="8640"/>
          </w:tcPr>
          <w:p>
            <w:r>
              <w:rPr>
                <w:sz w:val="20"/>
              </w:rPr>
              <w:t>Develop and publish a final technical report.</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Jeffrey Marr</w:t>
            </w:r>
          </w:p>
        </w:tc>
        <w:tc>
          <w:tcPr>
            <w:tcW w:type="dxa" w:w="1440"/>
          </w:tcPr>
          <w:p>
            <w:r>
              <w:rPr>
                <w:sz w:val="20"/>
              </w:rPr>
              <w:t>St. Anthony Falls Lab - UMN</w:t>
            </w:r>
          </w:p>
        </w:tc>
        <w:tc>
          <w:tcPr>
            <w:tcW w:type="dxa" w:w="6840"/>
          </w:tcPr>
          <w:p>
            <w:r>
              <w:rPr>
                <w:sz w:val="20"/>
              </w:rPr>
              <w:t>Principal Investigator and research engineering with expertise in hydraulics, hydraulic modeling, river sediment transport and hydraulic structures. Responsible for project oversight and will participate in all aspects of the research project.</w:t>
            </w:r>
          </w:p>
        </w:tc>
        <w:tc>
          <w:tcPr>
            <w:tcW w:type="dxa" w:w="1080"/>
          </w:tcPr>
          <w:p>
            <w:r>
              <w:rPr>
                <w:sz w:val="20"/>
              </w:rPr>
              <w:t>Yes</w:t>
            </w:r>
          </w:p>
        </w:tc>
      </w:tr>
      <w:tr>
        <w:tc>
          <w:tcPr>
            <w:tcW w:type="dxa" w:w="1440"/>
          </w:tcPr>
          <w:p>
            <w:r>
              <w:rPr>
                <w:sz w:val="20"/>
              </w:rPr>
              <w:t>Jessica Kozarek</w:t>
            </w:r>
          </w:p>
        </w:tc>
        <w:tc>
          <w:tcPr>
            <w:tcW w:type="dxa" w:w="1440"/>
          </w:tcPr>
          <w:p>
            <w:r>
              <w:rPr>
                <w:sz w:val="20"/>
              </w:rPr>
              <w:t>St. Anthony Falls Lab - UMN</w:t>
            </w:r>
          </w:p>
        </w:tc>
        <w:tc>
          <w:tcPr>
            <w:tcW w:type="dxa" w:w="6840"/>
          </w:tcPr>
          <w:p>
            <w:r>
              <w:rPr>
                <w:sz w:val="20"/>
              </w:rPr>
              <w:t>Co-Pi and research associate with research expertise in ecohydraulics, in-stream habitat, aquatic native and invasive species, and river restoration. Responsible for project oversight and participating in all aspects of the research project.</w:t>
            </w:r>
          </w:p>
        </w:tc>
        <w:tc>
          <w:tcPr>
            <w:tcW w:type="dxa" w:w="1080"/>
          </w:tcPr>
          <w:p>
            <w:r>
              <w:rPr>
                <w:sz w:val="20"/>
              </w:rPr>
              <w:t>Yes</w:t>
            </w:r>
          </w:p>
        </w:tc>
      </w:tr>
      <w:tr>
        <w:tc>
          <w:tcPr>
            <w:tcW w:type="dxa" w:w="1440"/>
          </w:tcPr>
          <w:p>
            <w:r>
              <w:rPr>
                <w:sz w:val="20"/>
              </w:rPr>
              <w:t>John Anfinson</w:t>
            </w:r>
          </w:p>
        </w:tc>
        <w:tc>
          <w:tcPr>
            <w:tcW w:type="dxa" w:w="1440"/>
          </w:tcPr>
          <w:p>
            <w:r>
              <w:rPr>
                <w:sz w:val="20"/>
              </w:rPr>
              <w:t>Historian, independent</w:t>
            </w:r>
          </w:p>
        </w:tc>
        <w:tc>
          <w:tcPr>
            <w:tcW w:type="dxa" w:w="6840"/>
          </w:tcPr>
          <w:p>
            <w:r>
              <w:rPr>
                <w:sz w:val="20"/>
              </w:rPr>
              <w:t>Project advisor, historian</w:t>
            </w:r>
          </w:p>
        </w:tc>
        <w:tc>
          <w:tcPr>
            <w:tcW w:type="dxa" w:w="1080"/>
          </w:tcPr>
          <w:p>
            <w:r>
              <w:rPr>
                <w:sz w:val="20"/>
              </w:rPr>
              <w:t>Yes</w:t>
            </w:r>
          </w:p>
        </w:tc>
      </w:tr>
      <w:tr>
        <w:tc>
          <w:tcPr>
            <w:tcW w:type="dxa" w:w="1440"/>
          </w:tcPr>
          <w:p>
            <w:r>
              <w:rPr>
                <w:sz w:val="20"/>
              </w:rPr>
              <w:t>Matt Lueker</w:t>
            </w:r>
          </w:p>
        </w:tc>
        <w:tc>
          <w:tcPr>
            <w:tcW w:type="dxa" w:w="1440"/>
          </w:tcPr>
          <w:p>
            <w:r>
              <w:rPr>
                <w:sz w:val="20"/>
              </w:rPr>
              <w:t>St. Anthony Falls Lab - UMN</w:t>
            </w:r>
          </w:p>
        </w:tc>
        <w:tc>
          <w:tcPr>
            <w:tcW w:type="dxa" w:w="6840"/>
          </w:tcPr>
          <w:p>
            <w:r>
              <w:rPr>
                <w:sz w:val="20"/>
              </w:rPr>
              <w:t>Principal Hydraulic Engineer on research study</w:t>
            </w:r>
          </w:p>
        </w:tc>
        <w:tc>
          <w:tcPr>
            <w:tcW w:type="dxa" w:w="1080"/>
          </w:tcPr>
          <w:p>
            <w:r>
              <w:rPr>
                <w:sz w:val="20"/>
              </w:rPr>
              <w:t>Yes</w:t>
            </w:r>
          </w:p>
        </w:tc>
      </w:tr>
      <w:tr>
        <w:tc>
          <w:tcPr>
            <w:tcW w:type="dxa" w:w="1440"/>
          </w:tcPr>
          <w:p>
            <w:r>
              <w:rPr>
                <w:sz w:val="20"/>
              </w:rPr>
              <w:t>Richard Christopher</w:t>
            </w:r>
          </w:p>
        </w:tc>
        <w:tc>
          <w:tcPr>
            <w:tcW w:type="dxa" w:w="1440"/>
          </w:tcPr>
          <w:p>
            <w:r>
              <w:rPr>
                <w:sz w:val="20"/>
              </w:rPr>
              <w:t>St. Anthony Falls Lab - UMN</w:t>
            </w:r>
          </w:p>
        </w:tc>
        <w:tc>
          <w:tcPr>
            <w:tcW w:type="dxa" w:w="6840"/>
          </w:tcPr>
          <w:p>
            <w:r>
              <w:rPr>
                <w:sz w:val="20"/>
              </w:rPr>
              <w:t>Principal model designer and scientist</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Disseminating the visual and technical information generated in this project is a primary objective of the effort. This research effort seeks to provide information to policy makers and the general public on the Mississippi River Gorge and possible restoration pathways. The following activities make up our dissemination activities:</w:t>
        <w:br/>
        <w:t>-</w:t>
        <w:tab/>
        <w:t>The research products from this project will include technical science reports and video documentation from the physical modeling effort. Data and reports produced will be made publicly available through the UMN Digital Conservancy and the Data Repository for U of M (DRUM). The technical report will include a detailed summary of the modeling activities, the design of the physical model, measurement and data collection systems, model scaling approaches for water and sediment, and technical summary of data and analysis.</w:t>
        <w:br/>
        <w:t>-</w:t>
        <w:tab/>
        <w:t>During the project, we will host open-house activities for stakeholders and the general public to view the physical model.</w:t>
        <w:br/>
        <w:t>-</w:t>
        <w:tab/>
        <w:t>We will work to incorporate input and share results of the project with Minnesota tribal Nations, especially the four Minnesota Dakota tribal Nations. We will work to establish collaboration with each of the four Nations.</w:t>
        <w:br/>
        <w:t>-</w:t>
        <w:tab/>
        <w:t xml:space="preserve">Our advisory and consulting partners have agreed to assist in distributing technical and visual information produced by the project. These groups have active social media presence, memberships, newsletters, and websites that will be used to help disseminate project information. </w:t>
        <w:br/>
        <w:br/>
        <w:t>We will acknowledge the Environment and Natural Resources Trust Fund through use of the trust fund logo or attribution language on project print and electronic media, publications, signage, and other communications and outreach.</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research from this project will be technical science reports and video documentation from the physical modeling effort. Data and reports produced will be made publicly available through the UMN Digital Conservancy and the Data Repository for U of M (DRUM). The implementation of products will be through our advisory committee all of whom have strong local and state communications roles. The advisory committee includes Friends of the Mississippi River, The Freshwater Society, and National Parks Conservation Association. We will also include state, federal and tribal Nation representation on the committee.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Wind Wave and Boating Impacts on Inland Lakes</w:t>
            </w:r>
          </w:p>
        </w:tc>
        <w:tc>
          <w:tcPr>
            <w:tcW w:type="dxa" w:w="4680"/>
          </w:tcPr>
          <w:p>
            <w:r>
              <w:rPr>
                <w:sz w:val="20"/>
              </w:rPr>
              <w:t>M.L. 2023, , Chp. 60, Art. 2, Sec. 2, Subd. 04c</w:t>
            </w:r>
          </w:p>
        </w:tc>
        <w:tc>
          <w:tcPr>
            <w:tcW w:type="dxa" w:w="1440"/>
          </w:tcPr>
          <w:p>
            <w:pPr>
              <w:jc w:val="right"/>
            </w:pPr>
            <w:r>
              <w:rPr>
                <w:sz w:val="20"/>
              </w:rPr>
              <w:t>$415,000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Jeff Marr</w:t>
            </w:r>
          </w:p>
        </w:tc>
        <w:tc>
          <w:tcPr>
            <w:tcW w:type="dxa" w:w="1440"/>
          </w:tcPr>
          <w:p>
            <w:r>
              <w:rPr>
                <w:sz w:val="20"/>
              </w:rPr>
            </w:r>
          </w:p>
        </w:tc>
        <w:tc>
          <w:tcPr>
            <w:tcW w:type="dxa" w:w="5472"/>
          </w:tcPr>
          <w:p>
            <w:r>
              <w:rPr>
                <w:sz w:val="20"/>
              </w:rPr>
              <w:t>Principal Investigator and research engineering with expertise in hydraulics, hydraulic modeling, river sediment transport and hydraulic structures. Responsible for project oversight and will participate in all aspects of the research project.</w:t>
            </w:r>
          </w:p>
        </w:tc>
        <w:tc>
          <w:tcPr>
            <w:tcW w:type="dxa" w:w="4032"/>
          </w:tcPr>
          <w:p>
            <w:r>
              <w:rPr>
                <w:sz w:val="20"/>
              </w:rPr>
            </w:r>
          </w:p>
        </w:tc>
        <w:tc>
          <w:tcPr>
            <w:tcW w:type="dxa" w:w="360"/>
          </w:tcPr>
          <w:p>
            <w:r>
              <w:rPr>
                <w:sz w:val="20"/>
              </w:rPr>
            </w:r>
          </w:p>
        </w:tc>
        <w:tc>
          <w:tcPr>
            <w:tcW w:type="dxa" w:w="360"/>
          </w:tcPr>
          <w:p>
            <w:pPr>
              <w:jc w:val="right"/>
            </w:pPr>
            <w:r>
              <w:rPr>
                <w:sz w:val="20"/>
              </w:rPr>
              <w:t>36.6%</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$29,813</w:t>
            </w:r>
          </w:p>
        </w:tc>
      </w:tr>
      <w:tr>
        <w:tc>
          <w:tcPr>
            <w:tcW w:type="dxa" w:w="864"/>
          </w:tcPr>
          <w:p>
            <w:r>
              <w:rPr>
                <w:sz w:val="20"/>
              </w:rPr>
              <w:t>Jessica Kozarek</w:t>
            </w:r>
          </w:p>
        </w:tc>
        <w:tc>
          <w:tcPr>
            <w:tcW w:type="dxa" w:w="1440"/>
          </w:tcPr>
          <w:p>
            <w:r>
              <w:rPr>
                <w:sz w:val="20"/>
              </w:rPr>
            </w:r>
          </w:p>
        </w:tc>
        <w:tc>
          <w:tcPr>
            <w:tcW w:type="dxa" w:w="5472"/>
          </w:tcPr>
          <w:p>
            <w:r>
              <w:rPr>
                <w:sz w:val="20"/>
              </w:rPr>
              <w:t>Co-Pi and research associate with research expertise in ecohydraulics, in-stream habitat, aquatic native and invasive species, and river restoration. Responsible for project oversight and participating in all aspects of the research project.</w:t>
            </w:r>
          </w:p>
        </w:tc>
        <w:tc>
          <w:tcPr>
            <w:tcW w:type="dxa" w:w="4032"/>
          </w:tcPr>
          <w:p>
            <w:r>
              <w:rPr>
                <w:sz w:val="20"/>
              </w:rPr>
            </w:r>
          </w:p>
        </w:tc>
        <w:tc>
          <w:tcPr>
            <w:tcW w:type="dxa" w:w="360"/>
          </w:tcPr>
          <w:p>
            <w:r>
              <w:rPr>
                <w:sz w:val="20"/>
              </w:rPr>
            </w:r>
          </w:p>
        </w:tc>
        <w:tc>
          <w:tcPr>
            <w:tcW w:type="dxa" w:w="360"/>
          </w:tcPr>
          <w:p>
            <w:pPr>
              <w:jc w:val="right"/>
            </w:pPr>
            <w:r>
              <w:rPr>
                <w:sz w:val="20"/>
              </w:rPr>
              <w:t>36.6%</w:t>
            </w:r>
          </w:p>
        </w:tc>
        <w:tc>
          <w:tcPr>
            <w:tcW w:type="dxa" w:w="360"/>
          </w:tcPr>
          <w:p>
            <w:pPr>
              <w:jc w:val="right"/>
            </w:pPr>
            <w:r>
              <w:rPr>
                <w:sz w:val="20"/>
              </w:rPr>
              <w:t>0.26</w:t>
            </w:r>
          </w:p>
        </w:tc>
        <w:tc>
          <w:tcPr>
            <w:tcW w:type="dxa" w:w="360"/>
          </w:tcPr>
          <w:p>
            <w:r>
              <w:rPr>
                <w:sz w:val="20"/>
              </w:rPr>
            </w:r>
          </w:p>
        </w:tc>
        <w:tc>
          <w:tcPr>
            <w:tcW w:type="dxa" w:w="1152"/>
          </w:tcPr>
          <w:p>
            <w:pPr>
              <w:jc w:val="right"/>
            </w:pPr>
            <w:r>
              <w:rPr>
                <w:sz w:val="20"/>
              </w:rPr>
              <w:t>$41,878</w:t>
            </w:r>
          </w:p>
        </w:tc>
      </w:tr>
      <w:tr>
        <w:tc>
          <w:tcPr>
            <w:tcW w:type="dxa" w:w="864"/>
          </w:tcPr>
          <w:p>
            <w:r>
              <w:rPr>
                <w:sz w:val="20"/>
              </w:rPr>
              <w:t>Richard Christopher</w:t>
            </w:r>
          </w:p>
        </w:tc>
        <w:tc>
          <w:tcPr>
            <w:tcW w:type="dxa" w:w="1440"/>
          </w:tcPr>
          <w:p>
            <w:r>
              <w:rPr>
                <w:sz w:val="20"/>
              </w:rPr>
            </w:r>
          </w:p>
        </w:tc>
        <w:tc>
          <w:tcPr>
            <w:tcW w:type="dxa" w:w="5472"/>
          </w:tcPr>
          <w:p>
            <w:r>
              <w:rPr>
                <w:sz w:val="20"/>
              </w:rPr>
              <w:t>Research Scientist and lead of physical modeling design and construction</w:t>
            </w:r>
          </w:p>
        </w:tc>
        <w:tc>
          <w:tcPr>
            <w:tcW w:type="dxa" w:w="4032"/>
          </w:tcPr>
          <w:p>
            <w:r>
              <w:rPr>
                <w:sz w:val="20"/>
              </w:rPr>
            </w:r>
          </w:p>
        </w:tc>
        <w:tc>
          <w:tcPr>
            <w:tcW w:type="dxa" w:w="360"/>
          </w:tcPr>
          <w:p>
            <w:r>
              <w:rPr>
                <w:sz w:val="20"/>
              </w:rPr>
            </w:r>
          </w:p>
        </w:tc>
        <w:tc>
          <w:tcPr>
            <w:tcW w:type="dxa" w:w="360"/>
          </w:tcPr>
          <w:p>
            <w:pPr>
              <w:jc w:val="right"/>
            </w:pPr>
            <w:r>
              <w:rPr>
                <w:sz w:val="20"/>
              </w:rPr>
              <w:t>36.6%</w:t>
            </w:r>
          </w:p>
        </w:tc>
        <w:tc>
          <w:tcPr>
            <w:tcW w:type="dxa" w:w="360"/>
          </w:tcPr>
          <w:p>
            <w:pPr>
              <w:jc w:val="right"/>
            </w:pPr>
            <w:r>
              <w:rPr>
                <w:sz w:val="20"/>
              </w:rPr>
              <w:t>0.38</w:t>
            </w:r>
          </w:p>
        </w:tc>
        <w:tc>
          <w:tcPr>
            <w:tcW w:type="dxa" w:w="360"/>
          </w:tcPr>
          <w:p>
            <w:r>
              <w:rPr>
                <w:sz w:val="20"/>
              </w:rPr>
            </w:r>
          </w:p>
        </w:tc>
        <w:tc>
          <w:tcPr>
            <w:tcW w:type="dxa" w:w="1152"/>
          </w:tcPr>
          <w:p>
            <w:pPr>
              <w:jc w:val="right"/>
            </w:pPr>
            <w:r>
              <w:rPr>
                <w:sz w:val="20"/>
              </w:rPr>
              <w:t>$41,524</w:t>
            </w:r>
          </w:p>
        </w:tc>
      </w:tr>
      <w:tr>
        <w:tc>
          <w:tcPr>
            <w:tcW w:type="dxa" w:w="864"/>
          </w:tcPr>
          <w:p>
            <w:r>
              <w:rPr>
                <w:sz w:val="20"/>
              </w:rPr>
              <w:t>Chris Milliren</w:t>
            </w:r>
          </w:p>
        </w:tc>
        <w:tc>
          <w:tcPr>
            <w:tcW w:type="dxa" w:w="1440"/>
          </w:tcPr>
          <w:p>
            <w:r>
              <w:rPr>
                <w:sz w:val="20"/>
              </w:rPr>
            </w:r>
          </w:p>
        </w:tc>
        <w:tc>
          <w:tcPr>
            <w:tcW w:type="dxa" w:w="5472"/>
          </w:tcPr>
          <w:p>
            <w:r>
              <w:rPr>
                <w:sz w:val="20"/>
              </w:rPr>
              <w:t>Engineer, instrumentation - design of data collection systems for physical modeling effort</w:t>
            </w:r>
          </w:p>
        </w:tc>
        <w:tc>
          <w:tcPr>
            <w:tcW w:type="dxa" w:w="4032"/>
          </w:tcPr>
          <w:p>
            <w:r>
              <w:rPr>
                <w:sz w:val="20"/>
              </w:rPr>
            </w:r>
          </w:p>
        </w:tc>
        <w:tc>
          <w:tcPr>
            <w:tcW w:type="dxa" w:w="360"/>
          </w:tcPr>
          <w:p>
            <w:r>
              <w:rPr>
                <w:sz w:val="20"/>
              </w:rPr>
            </w:r>
          </w:p>
        </w:tc>
        <w:tc>
          <w:tcPr>
            <w:tcW w:type="dxa" w:w="360"/>
          </w:tcPr>
          <w:p>
            <w:pPr>
              <w:jc w:val="right"/>
            </w:pPr>
            <w:r>
              <w:rPr>
                <w:sz w:val="20"/>
              </w:rPr>
              <w:t>36.6%</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$9,867</w:t>
            </w:r>
          </w:p>
        </w:tc>
      </w:tr>
      <w:tr>
        <w:tc>
          <w:tcPr>
            <w:tcW w:type="dxa" w:w="864"/>
          </w:tcPr>
          <w:p>
            <w:r>
              <w:rPr>
                <w:sz w:val="20"/>
              </w:rPr>
              <w:t>Ben Erickson</w:t>
            </w:r>
          </w:p>
        </w:tc>
        <w:tc>
          <w:tcPr>
            <w:tcW w:type="dxa" w:w="1440"/>
          </w:tcPr>
          <w:p>
            <w:r>
              <w:rPr>
                <w:sz w:val="20"/>
              </w:rPr>
            </w:r>
          </w:p>
        </w:tc>
        <w:tc>
          <w:tcPr>
            <w:tcW w:type="dxa" w:w="5472"/>
          </w:tcPr>
          <w:p>
            <w:r>
              <w:rPr>
                <w:sz w:val="20"/>
              </w:rPr>
              <w:t>Lab Operations - coordination of lab operation and facility usage, visitors and site visits to models</w:t>
            </w:r>
          </w:p>
        </w:tc>
        <w:tc>
          <w:tcPr>
            <w:tcW w:type="dxa" w:w="4032"/>
          </w:tcPr>
          <w:p>
            <w:r>
              <w:rPr>
                <w:sz w:val="20"/>
              </w:rPr>
            </w:r>
          </w:p>
        </w:tc>
        <w:tc>
          <w:tcPr>
            <w:tcW w:type="dxa" w:w="360"/>
          </w:tcPr>
          <w:p>
            <w:r>
              <w:rPr>
                <w:sz w:val="20"/>
              </w:rPr>
            </w:r>
          </w:p>
        </w:tc>
        <w:tc>
          <w:tcPr>
            <w:tcW w:type="dxa" w:w="360"/>
          </w:tcPr>
          <w:p>
            <w:pPr>
              <w:jc w:val="right"/>
            </w:pPr>
            <w:r>
              <w:rPr>
                <w:sz w:val="20"/>
              </w:rPr>
              <w:t>32.3%</w:t>
            </w:r>
          </w:p>
        </w:tc>
        <w:tc>
          <w:tcPr>
            <w:tcW w:type="dxa" w:w="360"/>
          </w:tcPr>
          <w:p>
            <w:pPr>
              <w:jc w:val="right"/>
            </w:pPr>
            <w:r>
              <w:rPr>
                <w:sz w:val="20"/>
              </w:rPr>
              <w:t>0.26</w:t>
            </w:r>
          </w:p>
        </w:tc>
        <w:tc>
          <w:tcPr>
            <w:tcW w:type="dxa" w:w="360"/>
          </w:tcPr>
          <w:p>
            <w:r>
              <w:rPr>
                <w:sz w:val="20"/>
              </w:rPr>
            </w:r>
          </w:p>
        </w:tc>
        <w:tc>
          <w:tcPr>
            <w:tcW w:type="dxa" w:w="1152"/>
          </w:tcPr>
          <w:p>
            <w:pPr>
              <w:jc w:val="right"/>
            </w:pPr>
            <w:r>
              <w:rPr>
                <w:sz w:val="20"/>
              </w:rPr>
              <w:t>$24,839</w:t>
            </w:r>
          </w:p>
        </w:tc>
      </w:tr>
      <w:tr>
        <w:tc>
          <w:tcPr>
            <w:tcW w:type="dxa" w:w="864"/>
          </w:tcPr>
          <w:p>
            <w:r>
              <w:rPr>
                <w:sz w:val="20"/>
              </w:rPr>
              <w:t>Undergraduate student (engineering)</w:t>
            </w:r>
          </w:p>
        </w:tc>
        <w:tc>
          <w:tcPr>
            <w:tcW w:type="dxa" w:w="1440"/>
          </w:tcPr>
          <w:p>
            <w:r>
              <w:rPr>
                <w:sz w:val="20"/>
              </w:rPr>
            </w:r>
          </w:p>
        </w:tc>
        <w:tc>
          <w:tcPr>
            <w:tcW w:type="dxa" w:w="5472"/>
          </w:tcPr>
          <w:p>
            <w:r>
              <w:rPr>
                <w:sz w:val="20"/>
              </w:rPr>
              <w:t>Support research and modeling efforts. Carry out independent research during summer session.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$4,035</w:t>
            </w:r>
          </w:p>
        </w:tc>
      </w:tr>
      <w:tr>
        <w:tc>
          <w:tcPr>
            <w:tcW w:type="dxa" w:w="864"/>
          </w:tcPr>
          <w:p>
            <w:r>
              <w:rPr>
                <w:sz w:val="20"/>
              </w:rPr>
              <w:t>Matt Lueker</w:t>
            </w:r>
          </w:p>
        </w:tc>
        <w:tc>
          <w:tcPr>
            <w:tcW w:type="dxa" w:w="1440"/>
          </w:tcPr>
          <w:p>
            <w:r>
              <w:rPr>
                <w:sz w:val="20"/>
              </w:rPr>
            </w:r>
          </w:p>
        </w:tc>
        <w:tc>
          <w:tcPr>
            <w:tcW w:type="dxa" w:w="5472"/>
          </w:tcPr>
          <w:p>
            <w:r>
              <w:rPr>
                <w:sz w:val="20"/>
              </w:rPr>
              <w:t>Engineer</w:t>
            </w:r>
          </w:p>
        </w:tc>
        <w:tc>
          <w:tcPr>
            <w:tcW w:type="dxa" w:w="4032"/>
          </w:tcPr>
          <w:p>
            <w:r>
              <w:rPr>
                <w:sz w:val="20"/>
              </w:rPr>
            </w:r>
          </w:p>
        </w:tc>
        <w:tc>
          <w:tcPr>
            <w:tcW w:type="dxa" w:w="360"/>
          </w:tcPr>
          <w:p>
            <w:r>
              <w:rPr>
                <w:sz w:val="20"/>
              </w:rPr>
            </w:r>
          </w:p>
        </w:tc>
        <w:tc>
          <w:tcPr>
            <w:tcW w:type="dxa" w:w="360"/>
          </w:tcPr>
          <w:p>
            <w:pPr>
              <w:jc w:val="right"/>
            </w:pPr>
            <w:r>
              <w:rPr>
                <w:sz w:val="20"/>
              </w:rPr>
              <w:t>36.6%</w:t>
            </w:r>
          </w:p>
        </w:tc>
        <w:tc>
          <w:tcPr>
            <w:tcW w:type="dxa" w:w="360"/>
          </w:tcPr>
          <w:p>
            <w:pPr>
              <w:jc w:val="right"/>
            </w:pPr>
            <w:r>
              <w:rPr>
                <w:sz w:val="20"/>
              </w:rPr>
              <w:t>0.78</w:t>
            </w:r>
          </w:p>
        </w:tc>
        <w:tc>
          <w:tcPr>
            <w:tcW w:type="dxa" w:w="360"/>
          </w:tcPr>
          <w:p>
            <w:r>
              <w:rPr>
                <w:sz w:val="20"/>
              </w:rPr>
            </w:r>
          </w:p>
        </w:tc>
        <w:tc>
          <w:tcPr>
            <w:tcW w:type="dxa" w:w="1152"/>
          </w:tcPr>
          <w:p>
            <w:pPr>
              <w:jc w:val="right"/>
            </w:pPr>
            <w:r>
              <w:rPr>
                <w:sz w:val="20"/>
              </w:rPr>
              <w:t>$99,260</w:t>
            </w:r>
          </w:p>
        </w:tc>
      </w:tr>
      <w:tr>
        <w:tc>
          <w:tcPr>
            <w:tcW w:type="dxa" w:w="864"/>
          </w:tcPr>
          <w:p>
            <w:r>
              <w:rPr>
                <w:sz w:val="20"/>
              </w:rPr>
              <w:t>Erik Noren</w:t>
            </w:r>
          </w:p>
        </w:tc>
        <w:tc>
          <w:tcPr>
            <w:tcW w:type="dxa" w:w="1440"/>
          </w:tcPr>
          <w:p>
            <w:r>
              <w:rPr>
                <w:sz w:val="20"/>
              </w:rPr>
            </w:r>
          </w:p>
        </w:tc>
        <w:tc>
          <w:tcPr>
            <w:tcW w:type="dxa" w:w="5472"/>
          </w:tcPr>
          <w:p>
            <w:r>
              <w:rPr>
                <w:sz w:val="20"/>
              </w:rPr>
              <w:t>Engineering Technician, Responsible for assisting in construction of the model and special fabrication.</w:t>
            </w:r>
          </w:p>
        </w:tc>
        <w:tc>
          <w:tcPr>
            <w:tcW w:type="dxa" w:w="4032"/>
          </w:tcPr>
          <w:p>
            <w:r>
              <w:rPr>
                <w:sz w:val="20"/>
              </w:rPr>
            </w:r>
          </w:p>
        </w:tc>
        <w:tc>
          <w:tcPr>
            <w:tcW w:type="dxa" w:w="360"/>
          </w:tcPr>
          <w:p>
            <w:r>
              <w:rPr>
                <w:sz w:val="20"/>
              </w:rPr>
            </w:r>
          </w:p>
        </w:tc>
        <w:tc>
          <w:tcPr>
            <w:tcW w:type="dxa" w:w="360"/>
          </w:tcPr>
          <w:p>
            <w:pPr>
              <w:jc w:val="right"/>
            </w:pPr>
            <w:r>
              <w:rPr>
                <w:sz w:val="20"/>
              </w:rPr>
              <w:t>32.3%</w:t>
            </w:r>
          </w:p>
        </w:tc>
        <w:tc>
          <w:tcPr>
            <w:tcW w:type="dxa" w:w="360"/>
          </w:tcPr>
          <w:p>
            <w:pPr>
              <w:jc w:val="right"/>
            </w:pPr>
            <w:r>
              <w:rPr>
                <w:sz w:val="20"/>
              </w:rPr>
              <w:t>0.34</w:t>
            </w:r>
          </w:p>
        </w:tc>
        <w:tc>
          <w:tcPr>
            <w:tcW w:type="dxa" w:w="360"/>
          </w:tcPr>
          <w:p>
            <w:r>
              <w:rPr>
                <w:sz w:val="20"/>
              </w:rPr>
            </w:r>
          </w:p>
        </w:tc>
        <w:tc>
          <w:tcPr>
            <w:tcW w:type="dxa" w:w="1152"/>
          </w:tcPr>
          <w:p>
            <w:pPr>
              <w:jc w:val="right"/>
            </w:pPr>
            <w:r>
              <w:rPr>
                <w:sz w:val="20"/>
              </w:rPr>
              <w:t>$25,987</w:t>
            </w:r>
          </w:p>
        </w:tc>
      </w:tr>
      <w:tr>
        <w:tc>
          <w:tcPr>
            <w:tcW w:type="dxa" w:w="864"/>
          </w:tcPr>
          <w:p>
            <w:r>
              <w:rPr>
                <w:sz w:val="20"/>
              </w:rPr>
              <w:t>Bridget Mendel</w:t>
            </w:r>
          </w:p>
        </w:tc>
        <w:tc>
          <w:tcPr>
            <w:tcW w:type="dxa" w:w="1440"/>
          </w:tcPr>
          <w:p>
            <w:r>
              <w:rPr>
                <w:sz w:val="20"/>
              </w:rPr>
            </w:r>
          </w:p>
        </w:tc>
        <w:tc>
          <w:tcPr>
            <w:tcW w:type="dxa" w:w="5472"/>
          </w:tcPr>
          <w:p>
            <w:r>
              <w:rPr>
                <w:sz w:val="20"/>
              </w:rPr>
              <w:t>Communications. Assist with development of visual content resulting from the research and directing communications and implementation of results.</w:t>
            </w:r>
          </w:p>
        </w:tc>
        <w:tc>
          <w:tcPr>
            <w:tcW w:type="dxa" w:w="4032"/>
          </w:tcPr>
          <w:p>
            <w:r>
              <w:rPr>
                <w:sz w:val="20"/>
              </w:rPr>
            </w:r>
          </w:p>
        </w:tc>
        <w:tc>
          <w:tcPr>
            <w:tcW w:type="dxa" w:w="360"/>
          </w:tcPr>
          <w:p>
            <w:r>
              <w:rPr>
                <w:sz w:val="20"/>
              </w:rPr>
            </w:r>
          </w:p>
        </w:tc>
        <w:tc>
          <w:tcPr>
            <w:tcW w:type="dxa" w:w="360"/>
          </w:tcPr>
          <w:p>
            <w:pPr>
              <w:jc w:val="right"/>
            </w:pPr>
            <w:r>
              <w:rPr>
                <w:sz w:val="20"/>
              </w:rPr>
              <w:t>36.6%</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$20,910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$298,113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Develop visual content (edited and narrated videos) summarizing research findings.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$25,000</w:t>
            </w:r>
          </w:p>
        </w:tc>
      </w:tr>
      <w:tr>
        <w:tc>
          <w:tcPr>
            <w:tcW w:type="dxa" w:w="864"/>
          </w:tcPr>
          <w:p>
            <w:r>
              <w:rPr>
                <w:sz w:val="20"/>
              </w:rPr>
              <w:t>John Anfinson</w:t>
            </w:r>
          </w:p>
        </w:tc>
        <w:tc>
          <w:tcPr>
            <w:tcW w:type="dxa" w:w="1440"/>
          </w:tcPr>
          <w:p>
            <w:r>
              <w:rPr>
                <w:sz w:val="20"/>
              </w:rPr>
              <w:t>Service Contract</w:t>
            </w:r>
          </w:p>
        </w:tc>
        <w:tc>
          <w:tcPr>
            <w:tcW w:type="dxa" w:w="5472"/>
          </w:tcPr>
          <w:p>
            <w:r>
              <w:rPr>
                <w:sz w:val="20"/>
              </w:rPr>
              <w:t>Anfinson will serve as the primary historian on the project team. Participate in all aspects of the project and serving as a subject matter expert in development of content. Will support post-project outreach and awareness of project outcomes.</w:t>
              <w:br/>
              <w:br/>
              <w:t>Anfinson will be contracted following UMN Professional Services Contract rules and policy.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$25,000</w:t>
            </w:r>
          </w:p>
        </w:tc>
      </w:tr>
      <w:tr>
        <w:tc>
          <w:tcPr>
            <w:tcW w:type="dxa" w:w="864"/>
          </w:tcPr>
          <w:p>
            <w:r>
              <w:rPr>
                <w:sz w:val="20"/>
              </w:rPr>
              <w:t>Check Point Welding and Fabrication</w:t>
            </w:r>
          </w:p>
        </w:tc>
        <w:tc>
          <w:tcPr>
            <w:tcW w:type="dxa" w:w="1440"/>
          </w:tcPr>
          <w:p>
            <w:r>
              <w:rPr>
                <w:sz w:val="20"/>
              </w:rPr>
              <w:t>Service Contract</w:t>
            </w:r>
          </w:p>
        </w:tc>
        <w:tc>
          <w:tcPr>
            <w:tcW w:type="dxa" w:w="5472"/>
          </w:tcPr>
          <w:p>
            <w:r>
              <w:rPr>
                <w:sz w:val="20"/>
              </w:rPr>
              <w:t>Fabricator - Laser cut stainless steel templates for model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Dimensional lumber and sheeting for model</w:t>
            </w:r>
          </w:p>
        </w:tc>
        <w:tc>
          <w:tcPr>
            <w:tcW w:type="dxa" w:w="4032"/>
          </w:tcPr>
          <w:p>
            <w:r>
              <w:rPr>
                <w:sz w:val="20"/>
              </w:rPr>
              <w:t>building materials to construct a physical model of the river reach upstream and downstream of LD1.</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Pipes, valves and other plumbing supplies</w:t>
            </w:r>
          </w:p>
        </w:tc>
        <w:tc>
          <w:tcPr>
            <w:tcW w:type="dxa" w:w="4032"/>
          </w:tcPr>
          <w:p>
            <w:r>
              <w:rPr>
                <w:sz w:val="20"/>
              </w:rPr>
              <w:t>plumbing supplies needed for the construction of the hydraulic model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t>Tools and Supplies</w:t>
            </w:r>
          </w:p>
        </w:tc>
        <w:tc>
          <w:tcPr>
            <w:tcW w:type="dxa" w:w="5472"/>
          </w:tcPr>
          <w:p>
            <w:r>
              <w:rPr>
                <w:sz w:val="20"/>
              </w:rPr>
              <w:t>Gate and gate controls</w:t>
            </w:r>
          </w:p>
        </w:tc>
        <w:tc>
          <w:tcPr>
            <w:tcW w:type="dxa" w:w="4032"/>
          </w:tcPr>
          <w:p>
            <w:r>
              <w:rPr>
                <w:sz w:val="20"/>
              </w:rPr>
              <w:t>hardware and supplies needed to construct a weir gate at the downstream end of the physical model.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Sealants, adhesives and paints</w:t>
            </w:r>
          </w:p>
        </w:tc>
        <w:tc>
          <w:tcPr>
            <w:tcW w:type="dxa" w:w="4032"/>
          </w:tcPr>
          <w:p>
            <w:r>
              <w:rPr>
                <w:sz w:val="20"/>
              </w:rPr>
              <w:t>Sealants, adhesives, and paints needed to construct the physical model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lightweight concrete and aggregate to fill the model</w:t>
            </w:r>
          </w:p>
        </w:tc>
        <w:tc>
          <w:tcPr>
            <w:tcW w:type="dxa" w:w="4032"/>
          </w:tcPr>
          <w:p>
            <w:r>
              <w:rPr>
                <w:sz w:val="20"/>
              </w:rPr>
              <w:t>materials needed to construct the physical model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camera and sensors for data acquisition</w:t>
            </w:r>
          </w:p>
        </w:tc>
        <w:tc>
          <w:tcPr>
            <w:tcW w:type="dxa" w:w="4032"/>
          </w:tcPr>
          <w:p>
            <w:r>
              <w:rPr>
                <w:sz w:val="20"/>
              </w:rPr>
              <w:t>data sensors to collect data from the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Tools and Supplies</w:t>
            </w:r>
          </w:p>
        </w:tc>
        <w:tc>
          <w:tcPr>
            <w:tcW w:type="dxa" w:w="5472"/>
          </w:tcPr>
          <w:p>
            <w:r>
              <w:rPr>
                <w:sz w:val="20"/>
              </w:rPr>
              <w:t>materials to fabricate Lock and Dam 1: spillway</w:t>
            </w:r>
          </w:p>
        </w:tc>
        <w:tc>
          <w:tcPr>
            <w:tcW w:type="dxa" w:w="4032"/>
          </w:tcPr>
          <w:p>
            <w:r>
              <w:rPr>
                <w:sz w:val="20"/>
              </w:rPr>
              <w:t>Critical parts of the physical model will be fabricated and placed within the model.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materials to fabricate Lock and Dam 1: locks</w:t>
            </w:r>
          </w:p>
        </w:tc>
        <w:tc>
          <w:tcPr>
            <w:tcW w:type="dxa" w:w="4032"/>
          </w:tcPr>
          <w:p>
            <w:r>
              <w:rPr>
                <w:sz w:val="20"/>
              </w:rPr>
              <w:t>Critical parts of the physical model will be fabricated and placed within the model.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materials to fabricate Lock and Dam 1: power house</w:t>
            </w:r>
          </w:p>
        </w:tc>
        <w:tc>
          <w:tcPr>
            <w:tcW w:type="dxa" w:w="4032"/>
          </w:tcPr>
          <w:p>
            <w:r>
              <w:rPr>
                <w:sz w:val="20"/>
              </w:rPr>
              <w:t>Critical parts of the physical model will be fabricated and placed within the model.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Roughness for the model hydraulics</w:t>
            </w:r>
          </w:p>
        </w:tc>
        <w:tc>
          <w:tcPr>
            <w:tcW w:type="dxa" w:w="4032"/>
          </w:tcPr>
          <w:p>
            <w:r>
              <w:rPr>
                <w:sz w:val="20"/>
              </w:rPr>
              <w:t>Material such as corrugated metal to add roughness to the model to match field scale hydraulic conditions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Sediment for the modeling effort</w:t>
            </w:r>
          </w:p>
        </w:tc>
        <w:tc>
          <w:tcPr>
            <w:tcW w:type="dxa" w:w="4032"/>
          </w:tcPr>
          <w:p>
            <w:r>
              <w:rPr>
                <w:sz w:val="20"/>
              </w:rPr>
              <w:t>fine and medium quarry sand to use within the model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tcPr>
          <w:p>
            <w:r>
              <w:rPr>
                <w:sz w:val="20"/>
              </w:rPr>
            </w:r>
          </w:p>
        </w:tc>
        <w:tc>
          <w:tcPr>
            <w:tcW w:type="dxa" w:w="1440"/>
          </w:tcPr>
          <w:p>
            <w:r>
              <w:rPr>
                <w:sz w:val="20"/>
              </w:rPr>
              <w:t>Tools and Supplies</w:t>
            </w:r>
          </w:p>
        </w:tc>
        <w:tc>
          <w:tcPr>
            <w:tcW w:type="dxa" w:w="5472"/>
          </w:tcPr>
          <w:p>
            <w:r>
              <w:rPr>
                <w:sz w:val="20"/>
              </w:rPr>
              <w:t>Wood, sediment, and plastics needed for modeling scenario #1</w:t>
            </w:r>
          </w:p>
        </w:tc>
        <w:tc>
          <w:tcPr>
            <w:tcW w:type="dxa" w:w="4032"/>
          </w:tcPr>
          <w:p>
            <w:r>
              <w:rPr>
                <w:sz w:val="20"/>
              </w:rPr>
              <w:t>supplies are needed to carry out the physical modeling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Wood, sediment, and plastics needed for modeling scenario #2</w:t>
            </w:r>
          </w:p>
        </w:tc>
        <w:tc>
          <w:tcPr>
            <w:tcW w:type="dxa" w:w="4032"/>
          </w:tcPr>
          <w:p>
            <w:r>
              <w:rPr>
                <w:sz w:val="20"/>
              </w:rPr>
              <w:t>supplies are needed to carry out the physical modeling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Wood, sediment, and plastics needed for modeling scenario #3</w:t>
            </w:r>
          </w:p>
        </w:tc>
        <w:tc>
          <w:tcPr>
            <w:tcW w:type="dxa" w:w="4032"/>
          </w:tcPr>
          <w:p>
            <w:r>
              <w:rPr>
                <w:sz w:val="20"/>
              </w:rPr>
              <w:t>supplies are needed to carry out the physical modeling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construction dumpster</w:t>
            </w:r>
          </w:p>
        </w:tc>
        <w:tc>
          <w:tcPr>
            <w:tcW w:type="dxa" w:w="4032"/>
          </w:tcPr>
          <w:p>
            <w:r>
              <w:rPr>
                <w:sz w:val="20"/>
              </w:rPr>
              <w:t>disposal of the model construction materials at the end of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$1,387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$68,887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$427,000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$427,000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8035603d-ded.pdf</w:t>
          </w:r>
        </w:hyperlink>
      </w:r>
    </w:p>
    <w:p>
      <w:pPr>
        <w:pStyle w:val="Heading4"/>
        <w:spacing w:before="40" w:after="20"/>
      </w:pPr>
      <w:r>
        <w:rPr>
          <w:b/>
          <w:i/>
          <w:color w:val="000000"/>
          <w:sz w:val="24"/>
        </w:rPr>
        <w:t>Alternate Text for Visual Component</w:t>
      </w:r>
    </w:p>
    <w:p>
      <w:r>
        <w:t>Document illustrates a reduced scale physical model of the Mississippi River gorge. Three individuals are shown looking at the model to provide scale of the model. The image has labels pointing out the locations of the Summit Avenue, Lock &amp; Dam 1, Ford Bridge, and Hidden Falls Park....</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Support_Friends of the Mississippi River</w:t>
            </w:r>
          </w:p>
        </w:tc>
        <w:tc>
          <w:tcPr>
            <w:tcW w:type="dxa" w:w="5400"/>
          </w:tcPr>
          <w:p>
            <w:r>
              <w:rPr>
                <w:sz w:val="20"/>
              </w:rPr>
            </w:r>
            <w:r>
              <w:rPr>
                <w:color w:val="000000" w:themeColor="hyperlink"/>
                <w:sz w:val="20"/>
                <w:u w:val="single"/>
              </w:rPr>
              <w:hyperlink r:id="rId13">
                <w:r>
                  <w:rPr/>
                  <w:t>0fb4e515-0b8.pdf</w:t>
                </w:r>
              </w:hyperlink>
            </w:r>
          </w:p>
        </w:tc>
      </w:tr>
      <w:tr>
        <w:tc>
          <w:tcPr>
            <w:tcW w:type="dxa" w:w="5400"/>
          </w:tcPr>
          <w:p>
            <w:r>
              <w:rPr>
                <w:sz w:val="20"/>
              </w:rPr>
              <w:t>Letter of Support_National Parks Conservation Association</w:t>
            </w:r>
          </w:p>
        </w:tc>
        <w:tc>
          <w:tcPr>
            <w:tcW w:type="dxa" w:w="5400"/>
          </w:tcPr>
          <w:p>
            <w:r>
              <w:rPr>
                <w:sz w:val="20"/>
              </w:rPr>
            </w:r>
            <w:r>
              <w:rPr>
                <w:color w:val="000000" w:themeColor="hyperlink"/>
                <w:sz w:val="20"/>
                <w:u w:val="single"/>
              </w:rPr>
              <w:hyperlink r:id="rId14">
                <w:r>
                  <w:rPr/>
                  <w:t>93f98701-93b.pdf</w:t>
                </w:r>
              </w:hyperlink>
            </w:r>
          </w:p>
        </w:tc>
      </w:tr>
      <w:tr>
        <w:tc>
          <w:tcPr>
            <w:tcW w:type="dxa" w:w="5400"/>
          </w:tcPr>
          <w:p>
            <w:r>
              <w:rPr>
                <w:sz w:val="20"/>
              </w:rPr>
              <w:t>Regents Letter of Support</w:t>
            </w:r>
          </w:p>
        </w:tc>
        <w:tc>
          <w:tcPr>
            <w:tcW w:type="dxa" w:w="5400"/>
          </w:tcPr>
          <w:p>
            <w:r>
              <w:rPr>
                <w:sz w:val="20"/>
              </w:rPr>
            </w:r>
            <w:r>
              <w:rPr>
                <w:color w:val="000000" w:themeColor="hyperlink"/>
                <w:sz w:val="20"/>
                <w:u w:val="single"/>
              </w:rPr>
              <w:hyperlink r:id="rId15">
                <w:r>
                  <w:rPr/>
                  <w:t>0a5c7098-ef0.pdf</w:t>
                </w:r>
              </w:hyperlink>
            </w:r>
          </w:p>
        </w:tc>
      </w:tr>
      <w:tr>
        <w:tc>
          <w:tcPr>
            <w:tcW w:type="dxa" w:w="5400"/>
          </w:tcPr>
          <w:p>
            <w:r>
              <w:rPr>
                <w:sz w:val="20"/>
              </w:rPr>
              <w:t>Letter of Support_Freshwater Society</w:t>
            </w:r>
          </w:p>
        </w:tc>
        <w:tc>
          <w:tcPr>
            <w:tcW w:type="dxa" w:w="5400"/>
          </w:tcPr>
          <w:p>
            <w:r>
              <w:rPr>
                <w:sz w:val="20"/>
              </w:rPr>
            </w:r>
            <w:r>
              <w:rPr>
                <w:color w:val="000000" w:themeColor="hyperlink"/>
                <w:sz w:val="20"/>
                <w:u w:val="single"/>
              </w:rPr>
              <w:hyperlink r:id="rId16">
                <w:r>
                  <w:rPr/>
                  <w:t>bc60b7bb-3b6.pdf</w:t>
                </w:r>
              </w:hyperlink>
            </w:r>
          </w:p>
        </w:tc>
      </w:tr>
      <w:tr>
        <w:tc>
          <w:tcPr>
            <w:tcW w:type="dxa" w:w="5400"/>
          </w:tcPr>
          <w:p>
            <w:r>
              <w:rPr>
                <w:sz w:val="20"/>
              </w:rPr>
              <w:t>2025-02-12 Approved Research Addendum</w:t>
            </w:r>
          </w:p>
        </w:tc>
        <w:tc>
          <w:tcPr>
            <w:tcW w:type="dxa" w:w="5400"/>
          </w:tcPr>
          <w:p>
            <w:r>
              <w:rPr>
                <w:sz w:val="20"/>
              </w:rPr>
            </w:r>
            <w:r>
              <w:rPr>
                <w:color w:val="000000" w:themeColor="hyperlink"/>
                <w:sz w:val="20"/>
                <w:u w:val="single"/>
              </w:rPr>
              <w:hyperlink r:id="rId17">
                <w:r>
                  <w:rPr/>
                  <w:t>9bf63a29-b52.pdf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t>
        <w:tab/>
        <w:t>Section Long-Term Implementation and Funding: Updated last sentence to reflect that we will include tribal Nations in our advisory/consulting team.</w:t>
        <w:br/>
        <w:t>•</w:t>
        <w:tab/>
        <w:t>Extended completion date for Activity 1, Milestone 3 by one month</w:t>
        <w:br/>
        <w:t>•</w:t>
        <w:tab/>
        <w:t>Extended completion dates for Activity 2, Milestones 1, 2 and 3 by one month</w:t>
        <w:br/>
        <w:t>•</w:t>
        <w:tab/>
        <w:t>Update budget with updated personnel salary and fringe rates.</w:t>
        <w:br/>
        <w:t>•</w:t>
        <w:tab/>
        <w:t>Reduced allocated hours for personnel and reduced supply budget to meet the target total budget of $427,000.</w:t>
        <w:br/>
        <w:t>•</w:t>
        <w:tab/>
        <w:t>Added Dissemination Efforts.</w:t>
        <w:br/>
        <w:t xml:space="preserve"> -  Changed Services and Subawards: Changed Anfinson from subaward to Contract Services; 2) completed acknowledgement for TBD; 3) Updated vendor name for fabrication services and completed acknowledgment.</w:t>
        <w:br/>
        <w:t>- updated SPA contact name and contact information</w:t>
        <w:br/>
        <w:t>- updated project completion date to match appropriation end date.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Jeff Marr, Angela Boutch, Jon Jee - University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8035603d-ded.pdf" TargetMode="External"/><Relationship Id="rId13" Type="http://schemas.openxmlformats.org/officeDocument/2006/relationships/hyperlink" Target="https://lccmrprojectmgmt.leg.mn/media/attachments/0fb4e515-0b8.pdf" TargetMode="External"/><Relationship Id="rId14" Type="http://schemas.openxmlformats.org/officeDocument/2006/relationships/hyperlink" Target="https://lccmrprojectmgmt.leg.mn/media/attachments/93f98701-93b.pdf" TargetMode="External"/><Relationship Id="rId15" Type="http://schemas.openxmlformats.org/officeDocument/2006/relationships/hyperlink" Target="https://lccmrprojectmgmt.leg.mn/media/attachments/0a5c7098-ef0.pdf" TargetMode="External"/><Relationship Id="rId16" Type="http://schemas.openxmlformats.org/officeDocument/2006/relationships/hyperlink" Target="https://lccmrprojectmgmt.leg.mn/media/attachments/bc60b7bb-3b6.pdf" TargetMode="External"/><Relationship Id="rId17" Type="http://schemas.openxmlformats.org/officeDocument/2006/relationships/hyperlink" Target="https://lccmrprojectmgmt.leg.mn/media/attachments/9bf63a29-b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Modeling the Future Mississippi River Gorge</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