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2025-154</w:t>
      </w:r>
    </w:p>
    <w:p>
      <w:r>
        <w:rPr>
          <w:b/>
        </w:rPr>
        <w:t xml:space="preserve">Staff Lead: </w:t>
      </w:r>
      <w:r>
        <w:t>Lisa Bigaouette</w:t>
      </w:r>
    </w:p>
    <w:p>
      <w:r>
        <w:rPr>
          <w:b/>
        </w:rPr>
        <w:t xml:space="preserve">Date this document submitted to LCCMR: </w:t>
      </w:r>
      <w:r>
        <w:t>June 10, 2025</w:t>
      </w:r>
    </w:p>
    <w:p>
      <w:r>
        <w:rPr>
          <w:b/>
        </w:rPr>
        <w:t xml:space="preserve">Project Title: </w:t>
      </w:r>
      <w:r>
        <w:t>Removing Mercury from Minnesota Waters</w:t>
      </w:r>
    </w:p>
    <w:p>
      <w:r>
        <w:rPr>
          <w:b/>
        </w:rPr>
        <w:t xml:space="preserve">Project Budget: </w:t>
      </w:r>
      <w:r>
        <w:t>$247,000</w:t>
      </w:r>
    </w:p>
    <w:p/>
    <w:p>
      <w:pPr>
        <w:pStyle w:val="Heading2"/>
        <w:spacing w:before="0" w:after="80"/>
      </w:pPr>
      <w:r>
        <w:rPr>
          <w:b/>
          <w:color w:val="2C559C"/>
          <w:sz w:val="28"/>
        </w:rPr>
        <w:t>Project Manager Information</w:t>
      </w:r>
    </w:p>
    <w:p>
      <w:r>
        <w:rPr>
          <w:b/>
        </w:rPr>
        <w:t xml:space="preserve">Name: </w:t>
      </w:r>
      <w:r>
        <w:t>Michael Smanski</w:t>
      </w:r>
    </w:p>
    <w:p>
      <w:r>
        <w:rPr>
          <w:b/>
        </w:rPr>
        <w:t xml:space="preserve">Organization: </w:t>
      </w:r>
      <w:r>
        <w:t>U of MN - College of Biological Sciences</w:t>
      </w:r>
    </w:p>
    <w:p>
      <w:r>
        <w:rPr>
          <w:b/>
        </w:rPr>
        <w:t xml:space="preserve">Office Telephone: </w:t>
      </w:r>
      <w:r>
        <w:t>(612) 624-9752</w:t>
      </w:r>
    </w:p>
    <w:p>
      <w:r>
        <w:rPr>
          <w:b/>
        </w:rPr>
        <w:t xml:space="preserve">Email: </w:t>
      </w:r>
      <w:r>
        <w:t>smanski@umn.edu</w:t>
      </w:r>
    </w:p>
    <w:p>
      <w:r>
        <w:rPr>
          <w:b/>
        </w:rPr>
        <w:t xml:space="preserve">Web Address: </w:t>
      </w:r>
      <w:r>
        <w:t>https://cbs.umn.edu/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08i</w:t>
      </w:r>
    </w:p>
    <w:p>
      <w:r>
        <w:rPr>
          <w:b/>
        </w:rPr>
        <w:t xml:space="preserve">Appropriation Language: </w:t>
      </w:r>
      <w:r>
        <w:t xml:space="preserve">$247,000 the first year is from the trust fund to the Board of Regents of the University of Minnesota to test and refine a biotechnology approach to remove mercury from the food chain in Minnesota's lakes and rivers and potentially make fish consumption in Minnesota safer. This appropriation is subject to Minnesota Statutes, section 116P.10.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test and refine a biotechnology approach to removing mercury from the food chain in Minnesota's lakes and rivers. If successful, this will make fish consumption in Minnesota safer.</w:t>
      </w:r>
    </w:p>
    <w:p>
      <w:pPr>
        <w:spacing w:after="60"/>
      </w:pPr>
      <w:r>
        <w:rPr>
          <w:b/>
        </w:rPr>
        <w:t>Describe the opportunity or problem your proposal seeks to address. Include any relevant background information.</w:t>
      </w:r>
    </w:p>
    <w:p>
      <w:r>
        <w:t>Methyl-mercury (hereafter just referred to as mercury) is a major pollutant in Minnesota waters and a public health hazard. Mercury levels in the environment are increasing, primarily due to human activity including coal-powered energy generation, cement kilning, industrial production of chlorine-containing materials, and gold mining. Mercury is a potent neurotoxin in animals and is particularly hazardous during prenatal and postnatal neurological development. All lakes and rivers in Minnesota are polluted with mercury, resulting in limits on the number of fish that Minnesotans can safely eat to avoid mercury poisoning. This results in multiple deleterious consequences to the health, use, and viability of Minnesota’s water resources. There is a feasible path to removing mercury from aquatic food chains by converting it to Hg(0), which would volatilize to the upper atmosphere. Remediating mercury from our waters would result in increased recreation and tourism for fishing, increased health of Minnesotans by allowing for the consumption of greater amounts of healthful fish, and would establish Minnesota as a global leader in innovative water resource remediation.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Research that originated in our laboratory at the University of Minnesota recently demonstrated that bacterial genes can be introduced to baitfish, giving them the ability of detoxify mercury from their environment. The proof-of-concept was completed in zebrafish, which are convenient laboratory animals that originate from South Asia. However zebrafish are not a viable organism to remove mercury from Minnesota waters. We have recently introduced this technology to Fathead Minnows, the most abundant freshwater fish in the Central and Eastern US. We foresee a powerful bioremediation program where mercury-degrading minnows (which are simultaneously made (i) bright pink or green to encourage predation and (ii) sterile to prevent them from altering the genetics of native populations) are released to decrease levels of mercury in the fish we harvest for consumption.  </w:t>
        <w:br/>
        <w:t>In this project we will measure the ability of these mercury-detoxifying Fathead Minnows to remediate polluted waters using environmentally-representative aquaria. In parallel, we will perform stakeholder engagement work with the Minnesota Pollution Control agency and the Minnesota DNR to determine the best path towards field trials of these fish in severely impacted lakes.</w:t>
      </w:r>
    </w:p>
    <w:p>
      <w:pPr>
        <w:spacing w:after="60"/>
      </w:pPr>
      <w:r>
        <w:rPr>
          <w:b/>
        </w:rPr>
        <w:t xml:space="preserve">What are the specific project outcomes as they relate to the public purpose of protection, conservation, preservation, and enhancement of the state’s natural resources? </w:t>
      </w:r>
    </w:p>
    <w:p>
      <w:r>
        <w:t>Successful completion of this project will result in a mature biotechnology with a feasible path forward through regulatory approval. The next steps after this funded project would be field trials in multiple lakes around the state and eventually deployment to remove methylmercury from Minnesota's edible fish population in a way that is safe and effective.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and refine the mercury-degrading fathead minnows in secure laboratory environments.</w:t>
      </w:r>
    </w:p>
    <w:p>
      <w:r>
        <w:rPr>
          <w:b/>
        </w:rPr>
        <w:t xml:space="preserve">Activity Budget: </w:t>
      </w:r>
      <w:r>
        <w:t>$227,000</w:t>
      </w:r>
    </w:p>
    <w:p>
      <w:r>
        <w:rPr>
          <w:b/>
        </w:rPr>
        <w:t xml:space="preserve">Activity Description: </w:t>
        <w:br/>
      </w:r>
      <w:r>
        <w:t>We will test the ability of engineered fathead minnows to convert toxic methylmercury to Hg(0) which will leave aquatic ecosystems. We already have engineered fathead minnows in-hand, and a proof-of-concept has been successfully demonstrated in aquarium fish (zebrafish) by our collaborators. These preliminary results substantially de-risk this technical activity. In this activity, we will measure the efficiency of mercury bioremediation in a contained aquarium environment at the MAISRC Containment Laboratory.  We will iterate on the design-build-test-learn engineering cycle until we have fish that will remove mercury from aquatic food chains with high efficiency. Lastly, we will simulate multi-trophic (food-chain) systems  in laboratory experiments using co-housed fish species the MAISRC Containment Laboratory to measure the impact of our approach on MeHg concentrations in species consumed by humans (yellow perch).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Rate of methylmercury degradation by existing transgenic fish is quantified by mass spectrometry.</w:t>
            </w:r>
          </w:p>
        </w:tc>
        <w:tc>
          <w:tcPr>
            <w:tcW w:type="dxa" w:w="2160"/>
          </w:tcPr>
          <w:p>
            <w:pPr>
              <w:jc w:val="right"/>
            </w:pPr>
            <w:r>
              <w:rPr>
                <w:sz w:val="20"/>
              </w:rPr>
              <w:t>December 31, 2025</w:t>
            </w:r>
          </w:p>
        </w:tc>
      </w:tr>
      <w:tr>
        <w:tc>
          <w:tcPr>
            <w:tcW w:type="dxa" w:w="8640"/>
          </w:tcPr>
          <w:p>
            <w:r>
              <w:rPr>
                <w:sz w:val="20"/>
              </w:rPr>
              <w:t>Rate of methylmercury volatilization is improved through iterative engineering.</w:t>
            </w:r>
          </w:p>
        </w:tc>
        <w:tc>
          <w:tcPr>
            <w:tcW w:type="dxa" w:w="2160"/>
          </w:tcPr>
          <w:p>
            <w:pPr>
              <w:jc w:val="right"/>
            </w:pPr>
            <w:r>
              <w:rPr>
                <w:sz w:val="20"/>
              </w:rPr>
              <w:t>December 31, 2026</w:t>
            </w:r>
          </w:p>
        </w:tc>
      </w:tr>
      <w:tr>
        <w:tc>
          <w:tcPr>
            <w:tcW w:type="dxa" w:w="8640"/>
          </w:tcPr>
          <w:p>
            <w:r>
              <w:rPr>
                <w:sz w:val="20"/>
              </w:rPr>
              <w:t>Impact of methylmercury bioremediation through the food chain is quantified in laboratory experiments.</w:t>
            </w:r>
          </w:p>
        </w:tc>
        <w:tc>
          <w:tcPr>
            <w:tcW w:type="dxa" w:w="2160"/>
          </w:tcPr>
          <w:p>
            <w:pPr>
              <w:jc w:val="right"/>
            </w:pPr>
            <w:r>
              <w:rPr>
                <w:sz w:val="20"/>
              </w:rPr>
              <w:t>May 31, 2027</w:t>
            </w:r>
          </w:p>
        </w:tc>
      </w:tr>
      <w:tr>
        <w:tc>
          <w:tcPr>
            <w:tcW w:type="dxa" w:w="8640"/>
          </w:tcPr>
          <w:p>
            <w:r>
              <w:rPr>
                <w:sz w:val="20"/>
              </w:rPr>
              <w:t>Technical report which organizes final project data</w:t>
            </w:r>
          </w:p>
        </w:tc>
        <w:tc>
          <w:tcPr>
            <w:tcW w:type="dxa" w:w="2160"/>
          </w:tcPr>
          <w:p>
            <w:pPr>
              <w:jc w:val="right"/>
            </w:pPr>
            <w:r>
              <w:rPr>
                <w:sz w:val="20"/>
              </w:rPr>
              <w:t>May 31, 2027</w:t>
            </w:r>
          </w:p>
        </w:tc>
      </w:tr>
    </w:tbl>
    <w:p/>
    <w:p>
      <w:pPr>
        <w:pStyle w:val="Heading3"/>
        <w:spacing w:after="60"/>
      </w:pPr>
      <w:r>
        <w:rPr>
          <w:b/>
          <w:color w:val="254885"/>
          <w:sz w:val="26"/>
        </w:rPr>
        <w:t>Activity 2: Determine the pathway for field-trials and wide-spread mercury bioremediation by engaging with MN-DNR, MPCA, and other regulators.</w:t>
      </w:r>
    </w:p>
    <w:p>
      <w:r>
        <w:rPr>
          <w:b/>
        </w:rPr>
        <w:t xml:space="preserve">Activity Budget: </w:t>
      </w:r>
      <w:r>
        <w:t>$20,000</w:t>
      </w:r>
    </w:p>
    <w:p>
      <w:r>
        <w:rPr>
          <w:b/>
        </w:rPr>
        <w:t xml:space="preserve">Activity Description: </w:t>
        <w:br/>
      </w:r>
      <w:r>
        <w:t>Activity 2 is divided into two subtasks. Subtask 1 will be a series of individual stakeholder engagement meetings with individual agencies in MN and at the federal level. Meetings will be held in person (local) or virtually (federal). The first series of meetings is aimed to share the technology and current model for bringing it to the field with key stakeholders. This subtask will include building a comprehensive map of the stakeholders that will need to be congregated in Subtask 2. The second subtask will be to organize a full-day stakeholder meeting in St. Paul in summer 2026. Having all stakeholders together in one room will be important (funds in this Activity will cover travel of stakeholders to St Paul) to ensure that the key milestones for regulatory approval (local and federal) and field-testing are compatible and understood by all.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Stakeholder identification and one-on-one stakeholder engagement to familiarize them with the emerging technology</w:t>
            </w:r>
          </w:p>
        </w:tc>
        <w:tc>
          <w:tcPr>
            <w:tcW w:type="dxa" w:w="2160"/>
          </w:tcPr>
          <w:p>
            <w:pPr>
              <w:jc w:val="right"/>
            </w:pPr>
            <w:r>
              <w:rPr>
                <w:sz w:val="20"/>
              </w:rPr>
              <w:t>February 28, 2026</w:t>
            </w:r>
          </w:p>
        </w:tc>
      </w:tr>
      <w:tr>
        <w:tc>
          <w:tcPr>
            <w:tcW w:type="dxa" w:w="8640"/>
          </w:tcPr>
          <w:p>
            <w:r>
              <w:rPr>
                <w:sz w:val="20"/>
              </w:rPr>
              <w:t>Multi-stakeholder in-person workshop to establish pathway to regulatory approval and deployment in MN.</w:t>
            </w:r>
          </w:p>
        </w:tc>
        <w:tc>
          <w:tcPr>
            <w:tcW w:type="dxa" w:w="2160"/>
          </w:tcPr>
          <w:p>
            <w:pPr>
              <w:jc w:val="right"/>
            </w:pPr>
            <w:r>
              <w:rPr>
                <w:sz w:val="20"/>
              </w:rPr>
              <w:t>August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Sarah Janssen</w:t>
            </w:r>
          </w:p>
        </w:tc>
        <w:tc>
          <w:tcPr>
            <w:tcW w:type="dxa" w:w="1440"/>
          </w:tcPr>
          <w:p>
            <w:r>
              <w:rPr>
                <w:sz w:val="20"/>
              </w:rPr>
              <w:t>USGS</w:t>
            </w:r>
          </w:p>
        </w:tc>
        <w:tc>
          <w:tcPr>
            <w:tcW w:type="dxa" w:w="6840"/>
          </w:tcPr>
          <w:p>
            <w:r>
              <w:rPr>
                <w:sz w:val="20"/>
              </w:rPr>
              <w:t>Analytical Chemistry Support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results of this research and development project will be shared with the broader community through multiple channels. The PI Michael Smanski will present results at regional and national conferences. He will also lead the preparation and publication of results in a peer-reviewed technical journal. In Activity 2, PI Smanski and the rest of the research team will directly communicate the results to stakeholders who would be important in translating this new technology to field settings, including the Minnesota Pollution Control Agency, and MN Department of Natural Resources, and the MN Department of Agriculture (the latter of which currently has purview over the field release of GMO organisms in MN policy). ENRTF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There are two major implementation possibilities, both of which will be on the table to discuss during our stakeholder engagement (Activity 2 below). One route is commercializing this technology through a start-up company that will be paid to remediate mercury on a lake-by-lake basis. The second is to partner with local government agencies (MN DNR or Pollution Control Agency) for a government-funded remediation program. These two paths may differ in which lakes would be cleaned up first, with social-justice implications (e.g., route one will prioritize lake associations willing to pay for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Building Knowledge and Capacity to Solve AIS Problems</w:t>
            </w:r>
          </w:p>
        </w:tc>
        <w:tc>
          <w:tcPr>
            <w:tcW w:type="dxa" w:w="4680"/>
          </w:tcPr>
          <w:p>
            <w:r>
              <w:rPr>
                <w:sz w:val="20"/>
              </w:rPr>
              <w:t>M.L. 2019, First Special Session, Chp. 4, Art. 2, Sec. 2, Subd. 06a</w:t>
            </w:r>
          </w:p>
        </w:tc>
        <w:tc>
          <w:tcPr>
            <w:tcW w:type="dxa" w:w="1440"/>
          </w:tcPr>
          <w:p>
            <w:pPr>
              <w:jc w:val="right"/>
            </w:pPr>
            <w:r>
              <w:rPr>
                <w:sz w:val="20"/>
              </w:rPr>
              <w:t>$4,000,000</w:t>
            </w:r>
          </w:p>
        </w:tc>
      </w:tr>
      <w:tr>
        <w:tc>
          <w:tcPr>
            <w:tcW w:type="dxa" w:w="4680"/>
          </w:tcPr>
          <w:p>
            <w:r>
              <w:rPr>
                <w:sz w:val="20"/>
              </w:rPr>
              <w:t>Building Knowledge And Capacity For AIS Solutions</w:t>
            </w:r>
          </w:p>
        </w:tc>
        <w:tc>
          <w:tcPr>
            <w:tcW w:type="dxa" w:w="4680"/>
          </w:tcPr>
          <w:p>
            <w:r>
              <w:rPr>
                <w:sz w:val="20"/>
              </w:rPr>
              <w:t>M.L. 2021, First Special Session, Chp. 6, Art. 6, Sec. 2, Subd. 06e</w:t>
            </w:r>
          </w:p>
        </w:tc>
        <w:tc>
          <w:tcPr>
            <w:tcW w:type="dxa" w:w="1440"/>
          </w:tcPr>
          <w:p>
            <w:pPr>
              <w:jc w:val="right"/>
            </w:pPr>
            <w:r>
              <w:rPr>
                <w:sz w:val="20"/>
              </w:rPr>
              <w:t>$3,750,000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$20,078</w:t>
            </w:r>
          </w:p>
        </w:tc>
      </w:tr>
      <w:tr>
        <w:tc>
          <w:tcPr>
            <w:tcW w:type="dxa" w:w="864"/>
          </w:tcPr>
          <w:p>
            <w:r>
              <w:rPr>
                <w:sz w:val="20"/>
              </w:rPr>
              <w:t>Researcher 5  academic lab staff</w:t>
            </w:r>
          </w:p>
        </w:tc>
        <w:tc>
          <w:tcPr>
            <w:tcW w:type="dxa" w:w="1440"/>
          </w:tcPr>
          <w:p>
            <w:r>
              <w:rPr>
                <w:sz w:val="20"/>
              </w:rPr>
            </w:r>
          </w:p>
        </w:tc>
        <w:tc>
          <w:tcPr>
            <w:tcW w:type="dxa" w:w="5472"/>
          </w:tcPr>
          <w:p>
            <w:r>
              <w:rPr>
                <w:sz w:val="20"/>
              </w:rPr>
              <w:t>To conduct analysis</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$166,165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$186,243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$1000 in year one and $1020 in year two to cover minor costs associated with routine repair and maintenance of equipment used in R&amp;D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$2,020</w:t>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$13,000 in year 1 and $13,260 in year two to cover fees associated with DNA sequencing, Mass Spectroscopy, and service fees for the MAISRC Containment Lab. $237 added as rounding to make sum total round to a thousand.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$26,497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$28,517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and supplies: $12,000 for year 1, $12,240 for year 2;</w:t>
            </w:r>
          </w:p>
        </w:tc>
        <w:tc>
          <w:tcPr>
            <w:tcW w:type="dxa" w:w="4032"/>
          </w:tcPr>
          <w:p>
            <w:r>
              <w:rPr>
                <w:sz w:val="20"/>
              </w:rPr>
              <w:t>This will cover fish husbandry materials (food, cleaners, etc.) and genetic engineering reagents (DNA, enzymes, lab consumables, etc.) for constructing and characterizing transgenic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$24,240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This is for catering at the workshop, which will include a light breakfast, lunch, and dinner for all attendees</w:t>
            </w:r>
          </w:p>
        </w:tc>
        <w:tc>
          <w:tcPr>
            <w:tcW w:type="dxa" w:w="4032"/>
          </w:tcPr>
          <w:p>
            <w:r>
              <w:rPr>
                <w:sz w:val="20"/>
              </w:rPr>
              <w:t>The stakeholder workshop will be held to outline a roadmap for regulatory approvals required for the mercury bioremediation technology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Miles/ Meals/ Lodging</w:t>
            </w:r>
          </w:p>
        </w:tc>
        <w:tc>
          <w:tcPr>
            <w:tcW w:type="dxa" w:w="5472"/>
          </w:tcPr>
          <w:p>
            <w:r>
              <w:rPr>
                <w:sz w:val="20"/>
              </w:rPr>
              <w:t>This will cover travel to Minnesota for the workshop for stakeholders located outside the state. Specifically, stakeholders from the EPA/USDA/FDA who are involved in federal regulation of biotechnology.</w:t>
            </w:r>
          </w:p>
        </w:tc>
        <w:tc>
          <w:tcPr>
            <w:tcW w:type="dxa" w:w="4032"/>
          </w:tcPr>
          <w:p>
            <w:r>
              <w:rPr>
                <w:sz w:val="20"/>
              </w:rPr>
              <w:t>The stakeholder workshop will be held to outline a roadmap for regulatory approvals required for the mercury bioremediation technology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t>Miles/ Meals/ Lodging</w:t>
            </w:r>
          </w:p>
        </w:tc>
        <w:tc>
          <w:tcPr>
            <w:tcW w:type="dxa" w:w="5472"/>
          </w:tcPr>
          <w:p>
            <w:r>
              <w:rPr>
                <w:sz w:val="20"/>
              </w:rPr>
              <w:t>Lodging for workshop attendees coming from outside the Twin Cities</w:t>
            </w:r>
          </w:p>
        </w:tc>
        <w:tc>
          <w:tcPr>
            <w:tcW w:type="dxa" w:w="4032"/>
          </w:tcPr>
          <w:p>
            <w:r>
              <w:rPr>
                <w:sz w:val="20"/>
              </w:rPr>
              <w:t>The stakeholder workshop will be held to outline a roadmap for regulatory approvals required for the mercury bioremediation technology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results describing fathead minnow bioremediation of mercury in high-visibility science journal</w:t>
            </w:r>
          </w:p>
        </w:tc>
        <w:tc>
          <w:tcPr>
            <w:tcW w:type="dxa" w:w="4032"/>
          </w:tcPr>
          <w:p>
            <w:r>
              <w:rPr>
                <w:sz w:val="20"/>
              </w:rPr>
              <w:t>Communication of results to the broader science and regulatory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Room rental at the McNamara center</w:t>
            </w:r>
          </w:p>
        </w:tc>
        <w:tc>
          <w:tcPr>
            <w:tcW w:type="dxa" w:w="4032"/>
          </w:tcPr>
          <w:p>
            <w:r>
              <w:rPr>
                <w:sz w:val="20"/>
              </w:rPr>
              <w:t>Holding a workshop in year two with local and federal regulators of biotechnology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In Minnesota</w:t>
            </w:r>
            <w:r>
              <w:rPr>
                <w:sz w:val="20"/>
              </w:rPr>
            </w:r>
          </w:p>
        </w:tc>
        <w:tc>
          <w:tcPr>
            <w:tcW w:type="dxa" w:w="1800"/>
          </w:tcPr>
          <w:p>
            <w:r>
              <w:rPr>
                <w:sz w:val="20"/>
              </w:rPr>
              <w:t>Miles/Meals/Lodging</w:t>
            </w:r>
          </w:p>
        </w:tc>
        <w:tc>
          <w:tcPr>
            <w:tcW w:type="dxa" w:w="3240"/>
          </w:tcPr>
          <w:p>
            <w:r>
              <w:rPr>
                <w:sz w:val="20"/>
              </w:rPr>
              <w:t>This will cover travel to Minnesota for the workshop for stakeholders located outside the state. Specifically, stakeholders from the EPA/USDA/FDA who are involved in federal regulation of biotechnology.</w:t>
            </w:r>
          </w:p>
        </w:tc>
        <w:tc>
          <w:tcPr>
            <w:tcW w:type="dxa" w:w="7560"/>
          </w:tcPr>
          <w:p>
            <w:r>
              <w:rPr>
                <w:sz w:val="20"/>
              </w:rPr>
              <w:t>Having key stakeholders from the federal regulatory agencies present at the workshop will be important, as both local and federal regulations will impact the translation of this technology to remediating mercury from Minnesota waters.</w:t>
              <w:br/>
            </w:r>
          </w:p>
        </w:tc>
      </w:tr>
      <w:tr>
        <w:tc>
          <w:tcPr>
            <w:tcW w:type="dxa" w:w="1800"/>
          </w:tcPr>
          <w:p>
            <w:r>
              <w:rPr>
                <w:b/>
                <w:sz w:val="20"/>
              </w:rPr>
              <w:t>Travel In Minnesota</w:t>
            </w:r>
            <w:r>
              <w:rPr>
                <w:sz w:val="20"/>
              </w:rPr>
            </w:r>
          </w:p>
        </w:tc>
        <w:tc>
          <w:tcPr>
            <w:tcW w:type="dxa" w:w="1800"/>
          </w:tcPr>
          <w:p>
            <w:r>
              <w:rPr>
                <w:sz w:val="20"/>
              </w:rPr>
              <w:t>Miles/Meals/Lodging</w:t>
            </w:r>
          </w:p>
        </w:tc>
        <w:tc>
          <w:tcPr>
            <w:tcW w:type="dxa" w:w="3240"/>
          </w:tcPr>
          <w:p>
            <w:r>
              <w:rPr>
                <w:sz w:val="20"/>
              </w:rPr>
              <w:t>Lodging for workshop attendees coming from outside the Twin Cities</w:t>
            </w:r>
          </w:p>
        </w:tc>
        <w:tc>
          <w:tcPr>
            <w:tcW w:type="dxa" w:w="7560"/>
          </w:tcPr>
          <w:p>
            <w:r>
              <w:rPr>
                <w:sz w:val="20"/>
              </w:rPr>
              <w:t>Having federal stakeholders at the workshop is important, as both federal and local regulations will impact translating the technology to remediate mercury from Minnesota waters.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for this proposal, though not allowed, are listed as in-kind contribution of 55% MTDC which is the Federally Negotiated rate with the U of MN. The indirect is proportionate to the awarded funds at a rate 55% so if the award is reduced the F&amp;A would be reduced.</w:t>
            </w:r>
          </w:p>
        </w:tc>
        <w:tc>
          <w:tcPr>
            <w:tcW w:type="dxa" w:w="6120"/>
          </w:tcPr>
          <w:p>
            <w:r>
              <w:rPr>
                <w:sz w:val="20"/>
              </w:rPr>
              <w:t>To pay for administrative and facility expenses for this project</w:t>
            </w:r>
          </w:p>
        </w:tc>
        <w:tc>
          <w:tcPr>
            <w:tcW w:type="dxa" w:w="1080"/>
          </w:tcPr>
          <w:p>
            <w:r>
              <w:rPr>
                <w:sz w:val="20"/>
              </w:rPr>
              <w:t>Secured</w:t>
            </w:r>
          </w:p>
        </w:tc>
        <w:tc>
          <w:tcPr>
            <w:tcW w:type="dxa" w:w="1440"/>
          </w:tcPr>
          <w:p>
            <w:pPr>
              <w:jc w:val="right"/>
            </w:pPr>
            <w:r>
              <w:rPr>
                <w:sz w:val="20"/>
              </w:rPr>
              <w:t>$135,720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$135,720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$135,720</w:t>
            </w:r>
          </w:p>
        </w:tc>
      </w:tr>
    </w:tbl>
    <w:p/>
    <w:p>
      <w:r>
        <w:rPr>
          <w:b/>
        </w:rPr>
        <w:t>Total Project Cost: $382,720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f7d7d199-b30.pdf</w:t>
          </w:r>
        </w:hyperlink>
      </w:r>
    </w:p>
    <w:p>
      <w:pPr>
        <w:pStyle w:val="Heading4"/>
        <w:spacing w:before="40" w:after="20"/>
      </w:pPr>
      <w:r>
        <w:rPr>
          <w:b/>
          <w:i/>
          <w:color w:val="000000"/>
          <w:sz w:val="24"/>
        </w:rPr>
        <w:t>Alternate Text for Visual Component</w:t>
      </w:r>
    </w:p>
    <w:p>
      <w:r>
        <w:t>Our visual component contains an infographic describing how the methylmercury degrading baitfish will lower mercury levels in the aquatic food chain. We also show photographs of our current fathead minnows engineered to degrade methylmercury, which are also made bright pink to make them more attractive to predator fish....</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SPA_submission_letter_Smanski</w:t>
            </w:r>
          </w:p>
        </w:tc>
        <w:tc>
          <w:tcPr>
            <w:tcW w:type="dxa" w:w="5400"/>
          </w:tcPr>
          <w:p>
            <w:r>
              <w:rPr>
                <w:sz w:val="20"/>
              </w:rPr>
            </w:r>
            <w:r>
              <w:rPr>
                <w:color w:val="000000" w:themeColor="hyperlink"/>
                <w:sz w:val="20"/>
                <w:u w:val="single"/>
              </w:rPr>
              <w:hyperlink r:id="rId13">
                <w:r>
                  <w:rPr/>
                  <w:t>23769c1f-439.pdf</w:t>
                </w:r>
              </w:hyperlink>
            </w:r>
          </w:p>
        </w:tc>
      </w:tr>
      <w:tr>
        <w:tc>
          <w:tcPr>
            <w:tcW w:type="dxa" w:w="5400"/>
          </w:tcPr>
          <w:p>
            <w:r>
              <w:rPr>
                <w:sz w:val="20"/>
              </w:rPr>
              <w:t>2025-154 Research Addendum_revised final</w:t>
            </w:r>
          </w:p>
        </w:tc>
        <w:tc>
          <w:tcPr>
            <w:tcW w:type="dxa" w:w="5400"/>
          </w:tcPr>
          <w:p>
            <w:r>
              <w:rPr>
                <w:sz w:val="20"/>
              </w:rPr>
            </w:r>
            <w:r>
              <w:rPr>
                <w:color w:val="000000" w:themeColor="hyperlink"/>
                <w:sz w:val="20"/>
                <w:u w:val="single"/>
              </w:rPr>
              <w:hyperlink r:id="rId14">
                <w:r>
                  <w:rPr/>
                  <w:t>15282e91-98e.pdf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added the name of an unfunded project collaborator who offered to give us support in the analytical chemistry associated with mercury analysis. I also added text into the new fields, for example dissemination. I have modified the categories in which items of the budget were recorded, per the comments from LCCMR. I have also added a sentence to the dissemination section stipulating that ENRTF will be acknowledged in communications.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Lori Nicol,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7d7d199-b30.pdf" TargetMode="External"/><Relationship Id="rId13" Type="http://schemas.openxmlformats.org/officeDocument/2006/relationships/hyperlink" Target="https://lccmrprojectmgmt.leg.mn/media/attachments/23769c1f-439.pdf" TargetMode="External"/><Relationship Id="rId14" Type="http://schemas.openxmlformats.org/officeDocument/2006/relationships/hyperlink" Target="https://lccmrprojectmgmt.leg.mn/media/attachments/15282e91-9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Removing Mercury from Minnesota Waters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