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2025-114</w:t>
      </w:r>
    </w:p>
    <w:p>
      <w:r>
        <w:rPr>
          <w:b/>
        </w:rPr>
        <w:t xml:space="preserve">Staff Lead: </w:t>
      </w:r>
      <w:r>
        <w:t>Mike Campana</w:t>
      </w:r>
    </w:p>
    <w:p>
      <w:r>
        <w:rPr>
          <w:b/>
        </w:rPr>
        <w:t xml:space="preserve">Date this document submitted to LCCMR: </w:t>
      </w:r>
      <w:r>
        <w:t>June 6, 2025</w:t>
      </w:r>
    </w:p>
    <w:p>
      <w:r>
        <w:rPr>
          <w:b/>
        </w:rPr>
        <w:t xml:space="preserve">Project Title: </w:t>
      </w:r>
      <w:r>
        <w:t>RTA Maintenance Trail Stabilization Project</w:t>
      </w:r>
    </w:p>
    <w:p>
      <w:r>
        <w:rPr>
          <w:b/>
        </w:rPr>
        <w:t xml:space="preserve">Project Budget: </w:t>
      </w:r>
      <w:r>
        <w:t>$500,000</w:t>
      </w:r>
    </w:p>
    <w:p/>
    <w:p>
      <w:pPr>
        <w:pStyle w:val="Heading2"/>
        <w:spacing w:before="0" w:after="80"/>
      </w:pPr>
      <w:r>
        <w:rPr>
          <w:b/>
          <w:color w:val="2C559C"/>
          <w:sz w:val="28"/>
        </w:rPr>
        <w:t>Project Manager Information</w:t>
      </w:r>
    </w:p>
    <w:p>
      <w:r>
        <w:rPr>
          <w:b/>
        </w:rPr>
        <w:t xml:space="preserve">Name: </w:t>
      </w:r>
      <w:r>
        <w:t>Karli Wittner</w:t>
      </w:r>
    </w:p>
    <w:p>
      <w:r>
        <w:rPr>
          <w:b/>
        </w:rPr>
        <w:t xml:space="preserve">Organization: </w:t>
      </w:r>
      <w:r>
        <w:t>City of Eden Prairie</w:t>
      </w:r>
    </w:p>
    <w:p>
      <w:r>
        <w:rPr>
          <w:b/>
        </w:rPr>
        <w:t xml:space="preserve">Office Telephone: </w:t>
      </w:r>
      <w:r>
        <w:t>(952) 949-8463</w:t>
      </w:r>
    </w:p>
    <w:p>
      <w:r>
        <w:rPr>
          <w:b/>
        </w:rPr>
        <w:t xml:space="preserve">Email: </w:t>
      </w:r>
      <w:r>
        <w:t>kwittner@edenprairie.org</w:t>
      </w:r>
    </w:p>
    <w:p>
      <w:r>
        <w:rPr>
          <w:b/>
        </w:rPr>
        <w:t xml:space="preserve">Web Address: </w:t>
      </w:r>
      <w:r>
        <w:t>https://www.edenprairie.org/</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09c</w:t>
      </w:r>
    </w:p>
    <w:p>
      <w:r>
        <w:rPr>
          <w:b/>
        </w:rPr>
        <w:t xml:space="preserve">Appropriation Language: </w:t>
      </w:r>
      <w:r>
        <w:t xml:space="preserve">$500,000 the first year is from the trust fund to the commissioner of natural resources for an agreement with the city of Eden Prairie to construct a retaining wall and restore adjacent remnant prairie along the maintenance trail at Richard T. Anderson (RTA) Conservation Area to mitigate ongoing erosion and protect native habitat and plant communities.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Retaining wall construction along the maintenance trail at Richard T. Anderson Conservation Area (RTA) to mitigate ongoing erosion, to restore adjacent remnant prairie, and protect native habitat &amp; plant communities.</w:t>
      </w:r>
    </w:p>
    <w:p>
      <w:pPr>
        <w:spacing w:after="60"/>
      </w:pPr>
      <w:r>
        <w:rPr>
          <w:b/>
        </w:rPr>
        <w:t>Describe the opportunity or problem your proposal seeks to address. Include any relevant background information.</w:t>
      </w:r>
    </w:p>
    <w:p>
      <w:r>
        <w:t>RTA is a conservation area protecting remnant bluff prairies and big woods forest in the Minnesota River Valley. Consisting of steep slopes, primarily of sandy soils that are highly erodible and sensitive to disturbance, particularly from upslope developments that alter stormwater drainage patterns.  The main trail entrance leads visitors along the only paved trail that connects to the secondary parking area, which is also utilized as a maintenance trail. The trail, a previous farm road, interrupts the natural slope causing seepages that create significant erosion undercutting. The impending threat of a hillside collapse will negatively impact critical habitat, safety of visitors, and access for maintenance. This project seeks to utilize long-term stabilization methods by using a constructed retaining wall and restoring a degraded remnant prairie.</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The remedy to the erosion issue will be two-fold. First, a 700’ long retaining wall averaging 8' in height will be constructed to shore up the hillside and regrade above the wall to redirect subsurface flows to a stormwater pond, before entering the nearby stream. The retaining wall will be designed to have minimal impact on the desirable existing ecosystem through prioritizing wall placement at the expense of trail space ahead of natural habitat space. Additionally, strategies include the use of soil from the site, protecting significant trees as reasonable, and installing biodegradable and wildlife friendly erosion control systems. Second, setback from the retaining wall is degraded remnant prairie overtaken by red cedars. Removal of the red cedars and return of the native prairie plants will aid in stabilizing the sandy soils and intercept subsurface flow via the deep root structure. Utilizing both solutions will provide long-term stabilization, while protecting critical habitat, providing safe access for visitors, and access for maintenance.</w:t>
      </w:r>
    </w:p>
    <w:p>
      <w:pPr>
        <w:spacing w:after="60"/>
      </w:pPr>
      <w:r>
        <w:rPr>
          <w:b/>
        </w:rPr>
        <w:t xml:space="preserve">What are the specific project outcomes as they relate to the public purpose of protection, conservation, preservation, and enhancement of the state’s natural resources? </w:t>
      </w:r>
    </w:p>
    <w:p>
      <w:r>
        <w:t>As a designated conservation area, the purpose behind protecting RTA is first and foremost to preserve remnant ecosystems. After consulting with engineering firms, a retaining wall is the solution that will have the least amount of impact, while protecting sensitive upslope communities.  If the erosion is not addressed ecosystems may be irreparably damaged with soil and seed bank loss. By including the restorations of the adjacent remnant plant communities this project aligns with the City’s commitment to protect the natural resources found in RTA.</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City(s): </w:t>
      </w:r>
      <w:r>
        <w:t>Eden Prairie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Development of engineering plans and specifications for retaining wall</w:t>
      </w:r>
    </w:p>
    <w:p>
      <w:r>
        <w:rPr>
          <w:b/>
        </w:rPr>
        <w:t xml:space="preserve">Activity Budget: </w:t>
      </w:r>
      <w:r>
        <w:t>$1</w:t>
      </w:r>
    </w:p>
    <w:p>
      <w:r>
        <w:rPr>
          <w:b/>
        </w:rPr>
        <w:t xml:space="preserve">Activity Description: </w:t>
        <w:br/>
      </w:r>
      <w:r>
        <w:t>Pre-design collaboration efforts are underway with the selected engineering firm, Stantec. The current steps taken to begin developing the project is a site evaluation, topographic survey, tree inventory, locating utilities, obtain historical data, and other site features that may be impacted by the work. The next steps are to identify extent of erosion, finalize project budget, design of retaining wall, evaluate construction impact to natural area, and proactively limit scope creep. Ongoing discussions will continue regarding potential solutions to achieve project goals and overall viability and longevity of the selected course of action for the projects return on investment. Collaboration remains ongoing during the development of plans and specifications through the development of 60% plans and specifications as well as 100% plans and specifications. When plans and specifications reach 100%, we post legal notice through publication in the local newspaper and progress through the sealed bid process.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Pre-design collaboration</w:t>
            </w:r>
          </w:p>
        </w:tc>
        <w:tc>
          <w:tcPr>
            <w:tcW w:type="dxa" w:w="2160"/>
          </w:tcPr>
          <w:p>
            <w:pPr>
              <w:jc w:val="right"/>
            </w:pPr>
            <w:r>
              <w:rPr>
                <w:sz w:val="20"/>
              </w:rPr>
              <w:t>January 31, 2024</w:t>
            </w:r>
          </w:p>
        </w:tc>
      </w:tr>
      <w:tr>
        <w:tc>
          <w:tcPr>
            <w:tcW w:type="dxa" w:w="8640"/>
          </w:tcPr>
          <w:p>
            <w:r>
              <w:rPr>
                <w:sz w:val="20"/>
              </w:rPr>
              <w:t>Development of 60%, ongoing project collaboration, and approval of draft plans</w:t>
            </w:r>
          </w:p>
        </w:tc>
        <w:tc>
          <w:tcPr>
            <w:tcW w:type="dxa" w:w="2160"/>
          </w:tcPr>
          <w:p>
            <w:pPr>
              <w:jc w:val="right"/>
            </w:pPr>
            <w:r>
              <w:rPr>
                <w:sz w:val="20"/>
              </w:rPr>
              <w:t>July 31, 2025</w:t>
            </w:r>
          </w:p>
        </w:tc>
      </w:tr>
      <w:tr>
        <w:tc>
          <w:tcPr>
            <w:tcW w:type="dxa" w:w="8640"/>
          </w:tcPr>
          <w:p>
            <w:r>
              <w:rPr>
                <w:sz w:val="20"/>
              </w:rPr>
              <w:t>100% construction documents complete, Department of Administration pre-design review, approval of final plans</w:t>
            </w:r>
          </w:p>
        </w:tc>
        <w:tc>
          <w:tcPr>
            <w:tcW w:type="dxa" w:w="2160"/>
          </w:tcPr>
          <w:p>
            <w:pPr>
              <w:jc w:val="right"/>
            </w:pPr>
            <w:r>
              <w:rPr>
                <w:sz w:val="20"/>
              </w:rPr>
              <w:t>September 30, 2025</w:t>
            </w:r>
          </w:p>
        </w:tc>
      </w:tr>
      <w:tr>
        <w:tc>
          <w:tcPr>
            <w:tcW w:type="dxa" w:w="8640"/>
          </w:tcPr>
          <w:p>
            <w:r>
              <w:rPr>
                <w:sz w:val="20"/>
              </w:rPr>
              <w:t>Environmental Review (EAW), DOA design review, SHPO, other permitting review and plan approvals</w:t>
            </w:r>
          </w:p>
        </w:tc>
        <w:tc>
          <w:tcPr>
            <w:tcW w:type="dxa" w:w="2160"/>
          </w:tcPr>
          <w:p>
            <w:pPr>
              <w:jc w:val="right"/>
            </w:pPr>
            <w:r>
              <w:rPr>
                <w:sz w:val="20"/>
              </w:rPr>
              <w:t>September 30, 2025</w:t>
            </w:r>
          </w:p>
        </w:tc>
      </w:tr>
      <w:tr>
        <w:tc>
          <w:tcPr>
            <w:tcW w:type="dxa" w:w="8640"/>
          </w:tcPr>
          <w:p>
            <w:r>
              <w:rPr>
                <w:sz w:val="20"/>
              </w:rPr>
              <w:t>Funding Secured, advertisement for bid, and contractor selection</w:t>
            </w:r>
          </w:p>
        </w:tc>
        <w:tc>
          <w:tcPr>
            <w:tcW w:type="dxa" w:w="2160"/>
          </w:tcPr>
          <w:p>
            <w:pPr>
              <w:jc w:val="right"/>
            </w:pPr>
            <w:r>
              <w:rPr>
                <w:sz w:val="20"/>
              </w:rPr>
              <w:t>October 31, 2025</w:t>
            </w:r>
          </w:p>
        </w:tc>
      </w:tr>
    </w:tbl>
    <w:p/>
    <w:p>
      <w:pPr>
        <w:pStyle w:val="Heading3"/>
        <w:spacing w:after="60"/>
      </w:pPr>
      <w:r>
        <w:rPr>
          <w:b/>
          <w:color w:val="254885"/>
          <w:sz w:val="26"/>
        </w:rPr>
        <w:t>Activity 2: Project implementation &amp; management of retaining wall</w:t>
      </w:r>
    </w:p>
    <w:p>
      <w:r>
        <w:rPr>
          <w:b/>
        </w:rPr>
        <w:t xml:space="preserve">Activity Budget: </w:t>
      </w:r>
      <w:r>
        <w:t>$424,999</w:t>
      </w:r>
    </w:p>
    <w:p>
      <w:r>
        <w:rPr>
          <w:b/>
        </w:rPr>
        <w:t xml:space="preserve">Activity Description: </w:t>
        <w:br/>
      </w:r>
      <w:r>
        <w:t>A preconstruction meeting will be held to go over the plans and specifications, discuss the scope of work, and collaborate strategies for successful implementation. No contractor is authorized to break ground until a pre-construction meeting has been held. This meeting will cover existing conditions, fixed assets, or other site features that must be saved and protected and steps to ensure proper protection is put in place. During site preparation ahead of construction desirable native plant species will be transplanted to another location. These will be cared for and replanted during the restoration phase. This will be followed by demolition and removals. Once the area is prepared grade staking will be completed, excavation will commence, and subgrade material will be installed. Following this, construction of the retaining wall, hydrostatic relief system, and rough grading will be done.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Pre-construction meeting, set benchmark control points, hold public facing Open House on site.</w:t>
            </w:r>
          </w:p>
        </w:tc>
        <w:tc>
          <w:tcPr>
            <w:tcW w:type="dxa" w:w="2160"/>
          </w:tcPr>
          <w:p>
            <w:pPr>
              <w:jc w:val="right"/>
            </w:pPr>
            <w:r>
              <w:rPr>
                <w:sz w:val="20"/>
              </w:rPr>
              <w:t>July 31, 2025</w:t>
            </w:r>
          </w:p>
        </w:tc>
      </w:tr>
      <w:tr>
        <w:tc>
          <w:tcPr>
            <w:tcW w:type="dxa" w:w="8640"/>
          </w:tcPr>
          <w:p>
            <w:r>
              <w:rPr>
                <w:sz w:val="20"/>
              </w:rPr>
              <w:t>Plant rescue</w:t>
            </w:r>
          </w:p>
        </w:tc>
        <w:tc>
          <w:tcPr>
            <w:tcW w:type="dxa" w:w="2160"/>
          </w:tcPr>
          <w:p>
            <w:pPr>
              <w:jc w:val="right"/>
            </w:pPr>
            <w:r>
              <w:rPr>
                <w:sz w:val="20"/>
              </w:rPr>
              <w:t>August 31, 2025</w:t>
            </w:r>
          </w:p>
        </w:tc>
      </w:tr>
      <w:tr>
        <w:tc>
          <w:tcPr>
            <w:tcW w:type="dxa" w:w="8640"/>
          </w:tcPr>
          <w:p>
            <w:r>
              <w:rPr>
                <w:sz w:val="20"/>
              </w:rPr>
              <w:t>Demolition and removals</w:t>
            </w:r>
          </w:p>
        </w:tc>
        <w:tc>
          <w:tcPr>
            <w:tcW w:type="dxa" w:w="2160"/>
          </w:tcPr>
          <w:p>
            <w:pPr>
              <w:jc w:val="right"/>
            </w:pPr>
            <w:r>
              <w:rPr>
                <w:sz w:val="20"/>
              </w:rPr>
              <w:t>August 31, 2025</w:t>
            </w:r>
          </w:p>
        </w:tc>
      </w:tr>
      <w:tr>
        <w:tc>
          <w:tcPr>
            <w:tcW w:type="dxa" w:w="8640"/>
          </w:tcPr>
          <w:p>
            <w:r>
              <w:rPr>
                <w:sz w:val="20"/>
              </w:rPr>
              <w:t>Notice of Funding Restriction Recorded</w:t>
            </w:r>
          </w:p>
        </w:tc>
        <w:tc>
          <w:tcPr>
            <w:tcW w:type="dxa" w:w="2160"/>
          </w:tcPr>
          <w:p>
            <w:pPr>
              <w:jc w:val="right"/>
            </w:pPr>
            <w:r>
              <w:rPr>
                <w:sz w:val="20"/>
              </w:rPr>
              <w:t>September 30, 2025</w:t>
            </w:r>
          </w:p>
        </w:tc>
      </w:tr>
      <w:tr>
        <w:tc>
          <w:tcPr>
            <w:tcW w:type="dxa" w:w="8640"/>
          </w:tcPr>
          <w:p>
            <w:r>
              <w:rPr>
                <w:sz w:val="20"/>
              </w:rPr>
              <w:t>Grade staking, excavation, sub-grade preparation</w:t>
            </w:r>
          </w:p>
        </w:tc>
        <w:tc>
          <w:tcPr>
            <w:tcW w:type="dxa" w:w="2160"/>
          </w:tcPr>
          <w:p>
            <w:pPr>
              <w:jc w:val="right"/>
            </w:pPr>
            <w:r>
              <w:rPr>
                <w:sz w:val="20"/>
              </w:rPr>
              <w:t>October 31, 2025</w:t>
            </w:r>
          </w:p>
        </w:tc>
      </w:tr>
      <w:tr>
        <w:tc>
          <w:tcPr>
            <w:tcW w:type="dxa" w:w="8640"/>
          </w:tcPr>
          <w:p>
            <w:r>
              <w:rPr>
                <w:sz w:val="20"/>
              </w:rPr>
              <w:t>Construction of retaining wall, drainage system, trail rehabilitation, and rough grading</w:t>
            </w:r>
          </w:p>
        </w:tc>
        <w:tc>
          <w:tcPr>
            <w:tcW w:type="dxa" w:w="2160"/>
          </w:tcPr>
          <w:p>
            <w:pPr>
              <w:jc w:val="right"/>
            </w:pPr>
            <w:r>
              <w:rPr>
                <w:sz w:val="20"/>
              </w:rPr>
              <w:t>June 30, 2026</w:t>
            </w:r>
          </w:p>
        </w:tc>
      </w:tr>
      <w:tr>
        <w:tc>
          <w:tcPr>
            <w:tcW w:type="dxa" w:w="8640"/>
          </w:tcPr>
          <w:p>
            <w:r>
              <w:rPr>
                <w:sz w:val="20"/>
              </w:rPr>
              <w:t>Open for Intended Use</w:t>
            </w:r>
          </w:p>
        </w:tc>
        <w:tc>
          <w:tcPr>
            <w:tcW w:type="dxa" w:w="2160"/>
          </w:tcPr>
          <w:p>
            <w:pPr>
              <w:jc w:val="right"/>
            </w:pPr>
            <w:r>
              <w:rPr>
                <w:sz w:val="20"/>
              </w:rPr>
              <w:t>June 30, 2026</w:t>
            </w:r>
          </w:p>
        </w:tc>
      </w:tr>
      <w:tr>
        <w:tc>
          <w:tcPr>
            <w:tcW w:type="dxa" w:w="8640"/>
          </w:tcPr>
          <w:p>
            <w:r>
              <w:rPr>
                <w:sz w:val="20"/>
              </w:rPr>
              <w:t>Signage installed with ENRTF Language or Logo</w:t>
            </w:r>
          </w:p>
        </w:tc>
        <w:tc>
          <w:tcPr>
            <w:tcW w:type="dxa" w:w="2160"/>
          </w:tcPr>
          <w:p>
            <w:pPr>
              <w:jc w:val="right"/>
            </w:pPr>
            <w:r>
              <w:rPr>
                <w:sz w:val="20"/>
              </w:rPr>
              <w:t>July 31, 2026</w:t>
            </w:r>
          </w:p>
        </w:tc>
      </w:tr>
      <w:tr>
        <w:tc>
          <w:tcPr>
            <w:tcW w:type="dxa" w:w="8640"/>
          </w:tcPr>
          <w:p>
            <w:r>
              <w:rPr>
                <w:sz w:val="20"/>
              </w:rPr>
              <w:t>Final Grading, substantial completion, construction ends</w:t>
            </w:r>
          </w:p>
        </w:tc>
        <w:tc>
          <w:tcPr>
            <w:tcW w:type="dxa" w:w="2160"/>
          </w:tcPr>
          <w:p>
            <w:pPr>
              <w:jc w:val="right"/>
            </w:pPr>
            <w:r>
              <w:rPr>
                <w:sz w:val="20"/>
              </w:rPr>
              <w:t>November 30, 2026</w:t>
            </w:r>
          </w:p>
        </w:tc>
      </w:tr>
    </w:tbl>
    <w:p/>
    <w:p>
      <w:pPr>
        <w:pStyle w:val="Heading3"/>
        <w:spacing w:after="60"/>
      </w:pPr>
      <w:r>
        <w:rPr>
          <w:b/>
          <w:color w:val="254885"/>
          <w:sz w:val="26"/>
        </w:rPr>
        <w:t>Activity 3: Native Prairie Restoration</w:t>
      </w:r>
    </w:p>
    <w:p>
      <w:r>
        <w:rPr>
          <w:b/>
        </w:rPr>
        <w:t xml:space="preserve">Activity Budget: </w:t>
      </w:r>
      <w:r>
        <w:t>$75,000</w:t>
      </w:r>
    </w:p>
    <w:p>
      <w:r>
        <w:rPr>
          <w:b/>
        </w:rPr>
        <w:t xml:space="preserve">Activity Description: </w:t>
        <w:br/>
      </w:r>
      <w:r>
        <w:t>Prairie restoration efforts will begin with seed collection from remnant prairie on site and nearby, such as Prairie Bluff Conservation Area, with the inclusion of trained volunteers. After the final grading and installation of biodegradable erosion control methods, a systematic removal of red cedars will begin that minimize interim erosion and allow new root systems to stabilize soils. Supplemental diversity will utilize the seed collected from our existing remnant prairies, to protect local ecotype genetics. Supplemental pocket planting of vegetation that was rescued before construction will be utilized to kickstart the restorations of new areas. Targeted invasive species removal will be careful to avoid damaging native plants. Once established, a prescribed burn will take place to aid in reducing non-native species and increase diversity, which will continue on a 3–5-year cycle in perpetuity. This work will be completed by an ecological restoration company and/or Minnesota Conservation Corps.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Remnant prairie seed collection</w:t>
            </w:r>
          </w:p>
        </w:tc>
        <w:tc>
          <w:tcPr>
            <w:tcW w:type="dxa" w:w="2160"/>
          </w:tcPr>
          <w:p>
            <w:pPr>
              <w:jc w:val="right"/>
            </w:pPr>
            <w:r>
              <w:rPr>
                <w:sz w:val="20"/>
              </w:rPr>
              <w:t>October 31, 2025</w:t>
            </w:r>
          </w:p>
        </w:tc>
      </w:tr>
      <w:tr>
        <w:tc>
          <w:tcPr>
            <w:tcW w:type="dxa" w:w="8640"/>
          </w:tcPr>
          <w:p>
            <w:r>
              <w:rPr>
                <w:sz w:val="20"/>
              </w:rPr>
              <w:t>Final grading installation of biodegradable erosion control</w:t>
            </w:r>
          </w:p>
        </w:tc>
        <w:tc>
          <w:tcPr>
            <w:tcW w:type="dxa" w:w="2160"/>
          </w:tcPr>
          <w:p>
            <w:pPr>
              <w:jc w:val="right"/>
            </w:pPr>
            <w:r>
              <w:rPr>
                <w:sz w:val="20"/>
              </w:rPr>
              <w:t>November 30, 2025</w:t>
            </w:r>
          </w:p>
        </w:tc>
      </w:tr>
      <w:tr>
        <w:tc>
          <w:tcPr>
            <w:tcW w:type="dxa" w:w="8640"/>
          </w:tcPr>
          <w:p>
            <w:r>
              <w:rPr>
                <w:sz w:val="20"/>
              </w:rPr>
              <w:t>Red Cedar removals</w:t>
            </w:r>
          </w:p>
        </w:tc>
        <w:tc>
          <w:tcPr>
            <w:tcW w:type="dxa" w:w="2160"/>
          </w:tcPr>
          <w:p>
            <w:pPr>
              <w:jc w:val="right"/>
            </w:pPr>
            <w:r>
              <w:rPr>
                <w:sz w:val="20"/>
              </w:rPr>
              <w:t>February 28, 2026</w:t>
            </w:r>
          </w:p>
        </w:tc>
      </w:tr>
      <w:tr>
        <w:tc>
          <w:tcPr>
            <w:tcW w:type="dxa" w:w="8640"/>
          </w:tcPr>
          <w:p>
            <w:r>
              <w:rPr>
                <w:sz w:val="20"/>
              </w:rPr>
              <w:t>Final inter-seeding of remnant prairie</w:t>
            </w:r>
          </w:p>
        </w:tc>
        <w:tc>
          <w:tcPr>
            <w:tcW w:type="dxa" w:w="2160"/>
          </w:tcPr>
          <w:p>
            <w:pPr>
              <w:jc w:val="right"/>
            </w:pPr>
            <w:r>
              <w:rPr>
                <w:sz w:val="20"/>
              </w:rPr>
              <w:t>January 31, 2027</w:t>
            </w:r>
          </w:p>
        </w:tc>
      </w:tr>
      <w:tr>
        <w:tc>
          <w:tcPr>
            <w:tcW w:type="dxa" w:w="8640"/>
          </w:tcPr>
          <w:p>
            <w:r>
              <w:rPr>
                <w:sz w:val="20"/>
              </w:rPr>
              <w:t>Prescribed Burn</w:t>
            </w:r>
          </w:p>
        </w:tc>
        <w:tc>
          <w:tcPr>
            <w:tcW w:type="dxa" w:w="2160"/>
          </w:tcPr>
          <w:p>
            <w:pPr>
              <w:jc w:val="right"/>
            </w:pPr>
            <w:r>
              <w:rPr>
                <w:sz w:val="20"/>
              </w:rPr>
              <w:t>May 31, 2027</w:t>
            </w:r>
          </w:p>
        </w:tc>
      </w:tr>
      <w:tr>
        <w:tc>
          <w:tcPr>
            <w:tcW w:type="dxa" w:w="8640"/>
          </w:tcPr>
          <w:p>
            <w:r>
              <w:rPr>
                <w:sz w:val="20"/>
              </w:rPr>
              <w:t>Treatment of invasive species</w:t>
            </w:r>
          </w:p>
        </w:tc>
        <w:tc>
          <w:tcPr>
            <w:tcW w:type="dxa" w:w="2160"/>
          </w:tcPr>
          <w:p>
            <w:pPr>
              <w:jc w:val="right"/>
            </w:pPr>
            <w:r>
              <w:rPr>
                <w:sz w:val="20"/>
              </w:rPr>
              <w:t>May 31, 2028</w:t>
            </w:r>
          </w:p>
        </w:tc>
      </w:tr>
      <w:tr>
        <w:tc>
          <w:tcPr>
            <w:tcW w:type="dxa" w:w="8640"/>
          </w:tcPr>
          <w:p>
            <w:r>
              <w:rPr>
                <w:sz w:val="20"/>
              </w:rPr>
              <w:t>Project Close Out</w:t>
            </w:r>
          </w:p>
        </w:tc>
        <w:tc>
          <w:tcPr>
            <w:tcW w:type="dxa" w:w="2160"/>
          </w:tcPr>
          <w:p>
            <w:pPr>
              <w:jc w:val="right"/>
            </w:pPr>
            <w:r>
              <w:rPr>
                <w:sz w:val="20"/>
              </w:rPr>
              <w:t>June 30, 2028</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Sarah Harding</w:t>
            </w:r>
          </w:p>
        </w:tc>
        <w:tc>
          <w:tcPr>
            <w:tcW w:type="dxa" w:w="1440"/>
          </w:tcPr>
          <w:p>
            <w:r>
              <w:rPr>
                <w:sz w:val="20"/>
              </w:rPr>
              <w:t>Stantec</w:t>
            </w:r>
          </w:p>
        </w:tc>
        <w:tc>
          <w:tcPr>
            <w:tcW w:type="dxa" w:w="6840"/>
          </w:tcPr>
          <w:p>
            <w:r>
              <w:rPr>
                <w:sz w:val="20"/>
              </w:rPr>
              <w:t>Associate Senior Landscape Architect</w:t>
            </w:r>
          </w:p>
        </w:tc>
        <w:tc>
          <w:tcPr>
            <w:tcW w:type="dxa" w:w="1080"/>
          </w:tcPr>
          <w:p>
            <w:r>
              <w:rPr>
                <w:sz w:val="20"/>
              </w:rPr>
              <w:t>No</w:t>
            </w:r>
          </w:p>
        </w:tc>
      </w:tr>
      <w:tr>
        <w:tc>
          <w:tcPr>
            <w:tcW w:type="dxa" w:w="1440"/>
          </w:tcPr>
          <w:p>
            <w:r>
              <w:rPr>
                <w:sz w:val="20"/>
              </w:rPr>
              <w:t>Tyler Menden</w:t>
            </w:r>
          </w:p>
        </w:tc>
        <w:tc>
          <w:tcPr>
            <w:tcW w:type="dxa" w:w="1440"/>
          </w:tcPr>
          <w:p>
            <w:r>
              <w:rPr>
                <w:sz w:val="20"/>
              </w:rPr>
              <w:t>City of Eden Prairie</w:t>
            </w:r>
          </w:p>
        </w:tc>
        <w:tc>
          <w:tcPr>
            <w:tcW w:type="dxa" w:w="6840"/>
          </w:tcPr>
          <w:p>
            <w:r>
              <w:rPr>
                <w:sz w:val="20"/>
              </w:rPr>
              <w:t>Parks Construction Supervisor</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A sign near the project area acknowledges the Environment and Natural Resources Trust Fund will be posted following project completion at the two entrances of RTA. Any signs posted during project work will include ENRTF acknowledgement. Any publication on the City website and other City channels will acknowledge funding from the ENRTF following the acknowledgment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The project will utilize private contractors and industry professional services for the development of plans and specifications, site preparation and removals, construction, and habitat restoration activities of this initiative. Project implementation will utilize funding from the City of Eden Prairie Capital Maintenance and Reinvestment Fund. Ongoing repair and maintenance efforts will be performed by full-time and seasonal park maintenance technicians as well as Natural Resources staff. Ongoing maintenance and repair work will be funded by the City of Eden Prairie Parks Department General Maintenance Fund.</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Service Contract</w:t>
            </w:r>
          </w:p>
        </w:tc>
        <w:tc>
          <w:tcPr>
            <w:tcW w:type="dxa" w:w="5472"/>
          </w:tcPr>
          <w:p>
            <w:r>
              <w:rPr>
                <w:sz w:val="20"/>
              </w:rPr>
              <w:t>Construction services for retaining wall installation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$425,000</w:t>
            </w:r>
          </w:p>
        </w:tc>
      </w:tr>
      <w:tr>
        <w:tc>
          <w:tcPr>
            <w:tcW w:type="dxa" w:w="864"/>
          </w:tcPr>
          <w:p>
            <w:r>
              <w:rPr>
                <w:sz w:val="20"/>
              </w:rPr>
              <w:t>TBD</w:t>
            </w:r>
          </w:p>
        </w:tc>
        <w:tc>
          <w:tcPr>
            <w:tcW w:type="dxa" w:w="1440"/>
          </w:tcPr>
          <w:p>
            <w:r>
              <w:rPr>
                <w:sz w:val="20"/>
              </w:rPr>
              <w:t>Service Contract</w:t>
            </w:r>
          </w:p>
        </w:tc>
        <w:tc>
          <w:tcPr>
            <w:tcW w:type="dxa" w:w="5472"/>
          </w:tcPr>
          <w:p>
            <w:r>
              <w:rPr>
                <w:sz w:val="20"/>
              </w:rPr>
              <w:t>Restoration of remnant prairie including red cedar removals, prescribed fire, native plant rescue, and inter-seeding.</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$75,000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$500,000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Eden Prairie Capital Improvement Fund</w:t>
            </w:r>
          </w:p>
        </w:tc>
        <w:tc>
          <w:tcPr>
            <w:tcW w:type="dxa" w:w="6120"/>
          </w:tcPr>
          <w:p>
            <w:r>
              <w:rPr>
                <w:sz w:val="20"/>
              </w:rPr>
              <w:t>Development of construction plans and specifications under a current contract with Stantec</w:t>
            </w:r>
          </w:p>
        </w:tc>
        <w:tc>
          <w:tcPr>
            <w:tcW w:type="dxa" w:w="1080"/>
          </w:tcPr>
          <w:p>
            <w:r>
              <w:rPr>
                <w:sz w:val="20"/>
              </w:rPr>
              <w:t>Secured</w:t>
            </w:r>
          </w:p>
        </w:tc>
        <w:tc>
          <w:tcPr>
            <w:tcW w:type="dxa" w:w="1440"/>
          </w:tcPr>
          <w:p>
            <w:pPr>
              <w:jc w:val="right"/>
            </w:pPr>
            <w:r>
              <w:rPr>
                <w:sz w:val="20"/>
              </w:rPr>
              <w:t>$21,924</w:t>
            </w:r>
          </w:p>
        </w:tc>
      </w:tr>
      <w:tr>
        <w:tc>
          <w:tcPr>
            <w:tcW w:type="dxa" w:w="1080"/>
          </w:tcPr>
          <w:p>
            <w:r>
              <w:rPr>
                <w:sz w:val="20"/>
              </w:rPr>
              <w:t>Cash</w:t>
            </w:r>
          </w:p>
        </w:tc>
        <w:tc>
          <w:tcPr>
            <w:tcW w:type="dxa" w:w="4680"/>
          </w:tcPr>
          <w:p>
            <w:r>
              <w:rPr>
                <w:sz w:val="20"/>
              </w:rPr>
              <w:t>Eden Prairie Capital Improvement Fund</w:t>
            </w:r>
          </w:p>
        </w:tc>
        <w:tc>
          <w:tcPr>
            <w:tcW w:type="dxa" w:w="6120"/>
          </w:tcPr>
          <w:p>
            <w:r>
              <w:rPr>
                <w:sz w:val="20"/>
              </w:rPr>
              <w:t>Cash-match for contracted work for retaining wall installation</w:t>
            </w:r>
          </w:p>
        </w:tc>
        <w:tc>
          <w:tcPr>
            <w:tcW w:type="dxa" w:w="1080"/>
          </w:tcPr>
          <w:p>
            <w:r>
              <w:rPr>
                <w:sz w:val="20"/>
              </w:rPr>
              <w:t>Potential</w:t>
            </w:r>
          </w:p>
        </w:tc>
        <w:tc>
          <w:tcPr>
            <w:tcW w:type="dxa" w:w="1440"/>
          </w:tcPr>
          <w:p>
            <w:pPr>
              <w:jc w:val="right"/>
            </w:pPr>
            <w:r>
              <w:rPr>
                <w:sz w:val="20"/>
              </w:rPr>
              <w:t>$100,000</w:t>
            </w:r>
          </w:p>
        </w:tc>
      </w:tr>
      <w:tr>
        <w:tc>
          <w:tcPr>
            <w:tcW w:type="dxa" w:w="1080"/>
          </w:tcPr>
          <w:p>
            <w:r>
              <w:rPr>
                <w:sz w:val="20"/>
              </w:rPr>
              <w:t>Cash</w:t>
            </w:r>
          </w:p>
        </w:tc>
        <w:tc>
          <w:tcPr>
            <w:tcW w:type="dxa" w:w="4680"/>
          </w:tcPr>
          <w:p>
            <w:r>
              <w:rPr>
                <w:sz w:val="20"/>
              </w:rPr>
              <w:t>Eden Prairie Capital Improvement Fund</w:t>
            </w:r>
          </w:p>
        </w:tc>
        <w:tc>
          <w:tcPr>
            <w:tcW w:type="dxa" w:w="6120"/>
          </w:tcPr>
          <w:p>
            <w:r>
              <w:rPr>
                <w:sz w:val="20"/>
              </w:rPr>
              <w:t>Contingency and Inflation</w:t>
            </w:r>
          </w:p>
        </w:tc>
        <w:tc>
          <w:tcPr>
            <w:tcW w:type="dxa" w:w="1080"/>
          </w:tcPr>
          <w:p>
            <w:r>
              <w:rPr>
                <w:sz w:val="20"/>
              </w:rPr>
              <w:t>Potential</w:t>
            </w:r>
          </w:p>
        </w:tc>
        <w:tc>
          <w:tcPr>
            <w:tcW w:type="dxa" w:w="1440"/>
          </w:tcPr>
          <w:p>
            <w:pPr>
              <w:jc w:val="right"/>
            </w:pPr>
            <w:r>
              <w:rPr>
                <w:sz w:val="20"/>
              </w:rPr>
              <w:t>$153,879</w:t>
            </w:r>
          </w:p>
        </w:tc>
      </w:tr>
      <w:tr>
        <w:tc>
          <w:tcPr>
            <w:tcW w:type="dxa" w:w="1080"/>
          </w:tcPr>
          <w:p>
            <w:r>
              <w:rPr>
                <w:sz w:val="20"/>
              </w:rPr>
              <w:t>Cash</w:t>
            </w:r>
          </w:p>
        </w:tc>
        <w:tc>
          <w:tcPr>
            <w:tcW w:type="dxa" w:w="4680"/>
          </w:tcPr>
          <w:p>
            <w:r>
              <w:rPr>
                <w:sz w:val="20"/>
              </w:rPr>
              <w:t>Eden Prairie Capital Improvement Fund</w:t>
            </w:r>
          </w:p>
        </w:tc>
        <w:tc>
          <w:tcPr>
            <w:tcW w:type="dxa" w:w="6120"/>
          </w:tcPr>
          <w:p>
            <w:r>
              <w:rPr>
                <w:sz w:val="20"/>
              </w:rPr>
              <w:t>Cash-match for remnant prairie restoration</w:t>
            </w:r>
          </w:p>
        </w:tc>
        <w:tc>
          <w:tcPr>
            <w:tcW w:type="dxa" w:w="1080"/>
          </w:tcPr>
          <w:p>
            <w:r>
              <w:rPr>
                <w:sz w:val="20"/>
              </w:rPr>
              <w:t>Potential</w:t>
            </w:r>
          </w:p>
        </w:tc>
        <w:tc>
          <w:tcPr>
            <w:tcW w:type="dxa" w:w="1440"/>
          </w:tcPr>
          <w:p>
            <w:pPr>
              <w:jc w:val="right"/>
            </w:pPr>
            <w:r>
              <w:rPr>
                <w:sz w:val="20"/>
              </w:rPr>
              <w:t>$25,000</w:t>
            </w:r>
          </w:p>
        </w:tc>
      </w:tr>
      <w:tr>
        <w:tc>
          <w:tcPr>
            <w:tcW w:type="dxa" w:w="1080"/>
          </w:tcPr>
          <w:p>
            <w:r>
              <w:rPr>
                <w:sz w:val="20"/>
              </w:rPr>
              <w:t>In-Kind</w:t>
            </w:r>
          </w:p>
        </w:tc>
        <w:tc>
          <w:tcPr>
            <w:tcW w:type="dxa" w:w="4680"/>
          </w:tcPr>
          <w:p>
            <w:r>
              <w:rPr>
                <w:sz w:val="20"/>
              </w:rPr>
              <w:t>Eden Prairie General Fund</w:t>
            </w:r>
          </w:p>
        </w:tc>
        <w:tc>
          <w:tcPr>
            <w:tcW w:type="dxa" w:w="6120"/>
          </w:tcPr>
          <w:p>
            <w:r>
              <w:rPr>
                <w:sz w:val="20"/>
              </w:rPr>
              <w:t>Administrative Expenses - Project management and close-out</w:t>
            </w:r>
          </w:p>
        </w:tc>
        <w:tc>
          <w:tcPr>
            <w:tcW w:type="dxa" w:w="1080"/>
          </w:tcPr>
          <w:p>
            <w:r>
              <w:rPr>
                <w:sz w:val="20"/>
              </w:rPr>
              <w:t>Secured</w:t>
            </w:r>
          </w:p>
        </w:tc>
        <w:tc>
          <w:tcPr>
            <w:tcW w:type="dxa" w:w="1440"/>
          </w:tcPr>
          <w:p>
            <w:pPr>
              <w:jc w:val="right"/>
            </w:pPr>
            <w:r>
              <w:rPr>
                <w:sz w:val="20"/>
              </w:rPr>
              <w:t>$20,000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$320,803</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$320,803</w:t>
            </w:r>
          </w:p>
        </w:tc>
      </w:tr>
    </w:tbl>
    <w:p/>
    <w:p>
      <w:r>
        <w:rPr>
          <w:b/>
        </w:rPr>
        <w:t>Total Project Cost: $820,803</w:t>
      </w:r>
    </w:p>
    <w:p>
      <w:r>
        <w:rPr>
          <w:b/>
        </w:rPr>
        <w:t>This amount accurately reflects total project cost?</w:t>
      </w:r>
      <w:r>
        <w:br/>
        <w:tab/>
        <w:t>Yes</w:t>
      </w:r>
    </w:p>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Richard T Anderson Conservation Area</w:t>
            </w:r>
          </w:p>
        </w:tc>
        <w:tc>
          <w:tcPr>
            <w:tcW w:type="dxa" w:w="1440"/>
          </w:tcPr>
          <w:p>
            <w:r>
              <w:rPr>
                <w:sz w:val="20"/>
              </w:rPr>
              <w:t>Hennepin</w:t>
            </w:r>
          </w:p>
        </w:tc>
        <w:tc>
          <w:tcPr>
            <w:tcW w:type="dxa" w:w="3888"/>
          </w:tcPr>
          <w:p>
            <w:r>
              <w:rPr>
                <w:sz w:val="20"/>
              </w:rPr>
              <w:t>This site includes areas of high-quality remnant bluff and mesic prairie systems that includes special concern species, along with remnant maple-basswood forest.</w:t>
            </w:r>
          </w:p>
        </w:tc>
        <w:tc>
          <w:tcPr>
            <w:tcW w:type="dxa" w:w="1080"/>
          </w:tcPr>
          <w:p>
            <w:r>
              <w:rPr>
                <w:sz w:val="20"/>
              </w:rPr>
              <w:t>Restoration</w:t>
            </w:r>
          </w:p>
        </w:tc>
        <w:tc>
          <w:tcPr>
            <w:tcW w:type="dxa" w:w="432"/>
          </w:tcPr>
          <w:p>
            <w:pPr>
              <w:jc w:val="right"/>
            </w:pPr>
            <w:r>
              <w:rPr>
                <w:sz w:val="20"/>
              </w:rPr>
              <w:t>3</w:t>
            </w:r>
          </w:p>
        </w:tc>
        <w:tc>
          <w:tcPr>
            <w:tcW w:type="dxa" w:w="432"/>
          </w:tcPr>
          <w:p>
            <w:pPr>
              <w:jc w:val="right"/>
            </w:pPr>
            <w:r>
              <w:rPr>
                <w:sz w:val="20"/>
              </w:rPr>
              <w:t>-</w:t>
            </w:r>
          </w:p>
        </w:tc>
        <w:tc>
          <w:tcPr>
            <w:tcW w:type="dxa" w:w="1080"/>
          </w:tcPr>
          <w:p>
            <w:pPr>
              <w:jc w:val="right"/>
            </w:pPr>
            <w:r>
              <w:rPr>
                <w:sz w:val="20"/>
              </w:rPr>
              <w:t>$100,000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3</w:t>
            </w:r>
          </w:p>
        </w:tc>
        <w:tc>
          <w:tcPr>
            <w:tcW w:type="dxa" w:w="432"/>
            <w:shd w:fill="#eeeeee"/>
          </w:tcPr>
          <w:p>
            <w:pPr>
              <w:jc w:val="right"/>
            </w:pPr>
            <w:r>
              <w:rPr>
                <w:b/>
                <w:color w:val="000000"/>
                <w:sz w:val="20"/>
              </w:rPr>
              <w:t>0</w:t>
            </w:r>
          </w:p>
        </w:tc>
        <w:tc>
          <w:tcPr>
            <w:tcW w:type="dxa" w:w="1080"/>
            <w:shd w:fill="#eeeeee"/>
          </w:tcPr>
          <w:p>
            <w:pPr>
              <w:jc w:val="right"/>
            </w:pPr>
            <w:r>
              <w:rPr>
                <w:b/>
                <w:color w:val="000000"/>
                <w:sz w:val="20"/>
              </w:rPr>
              <w:t>$100,000</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Richard T Anderson Conservation Area is owned and managed by the City of Eden Prairie. The purchase of this parcel was approved through a referendum in 1994, which permanently protects this parcel primary with the purpose of conserving the natural resources. The parcels where the work will be taking place are Property ID Number: 3011622320001 &amp; 3011622330001 and located at Section 30, Township 116N, and Range 22W.</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 xml:space="preserve">Shortly after the parcel purchase of the property for Richard T. Anderson (RTA), Barr Engineering and Ingraham &amp; Associates conducted a site analysis for a management plan that the City received in 1999. This plan is kept on file at the City in both hard copy and digital file formats. The management plan outlines the plan for paving the existing central farm road to minimize erosion and allow for “most appropriate method to deal with stormwater runoff”. The plan also illustrates the need for a retaining wall along this road to address “current” erosion issues on the north end of the trial. The wall constructed for this purpose is performing well to date. After engaging four engineering firms, on site, to identify best practice methods to address the erosion now occurring on the southern end, each firm had a similar suggestion as the advice given in the 1999 Management Plan. </w:t>
        <w:br/>
        <w:br/>
        <w:t xml:space="preserve">The development, Settler’s Ridge, began construction during the same period as the management plan was being developed. The erosion problems occurring now are more than likely due to the increase of impervious surface on the top of the slope, causing an increase in stormwater that infiltrates at the top, flows diagonally downslope and resurfaces along the trail section increasing erosion and slope failure over the last 25 years.  Thus, to continue our restoration efforts (see below) our first step must be to address the erosion issues with a retaining wall to ensure any ecological restoration efforts do not exasperate the problem. </w:t>
        <w:br/>
        <w:br/>
        <w:t xml:space="preserve">In 2019, the City partnered with Hennepin County with their Hennepin County Habitat Conservation Program Phase 1 funded by LSOHC to remove encroaching woody plants and control invasive species within remnant prairies located at RTA. The management plan for this is kept in both hard copy and digital file formats. One of these prairies is located at the top of the bluff directly upslope from where the retaining wall is to be installed with just over 3 acres restored. This area is separate and will not be impacted by the installation of the retaining wall. There are another 3 acres of remnant prairie near the retaining wall that will need to have woody encroachment addressed. The City has waited to further address the woody encroachment due the steep slopes and erosion problems. Removal of the woody plants at this time would cause further erosion on these steep slopes laden with sandy soils. </w:t>
        <w:br/>
        <w:br/>
        <w:t>After the retaining wall is installed, our management strategy is to continue to restore the remaining portions of the adjacent remnant prairies. These efforts will be documented within our Natural Resources Management GIS software. Previous restoration efforts have shown an intact seed bank.  Our first step is to conduct a vegetation survey to gather baseline data on the species diversity and abundance on the site, which will begin this summer. Additionally, we want to protect the genetic diversity of this remnant prairie and will be conducting seed collection on neighboring remnant prairies which will be saved and applied during restoration &amp; enhancement efforts after woody removals and construction processes conclude. Cedars will be removed incrementally down the slope to allow new root establishment over a couple of growing seasons. The cedars that are next in line for the following years removal will have crown raising to allow sunlight to penetrate the edge, which should allow for seed germination. This method will allow for soil stabilization to occur on the steep slopes without clearcutting the entire 3 acres and causing erosion issues. The cedars will be piled and burned during the winter months, due to lack of access. If able, we are going to only burn one pile to reduce burn scars. Cedar logs cut from this project, may also be used as erosion control measures, by being secured with wood lathes perpendicular to the slope. Invasive species such as leafy spurge, buckthorn, and vetch will be treated through best practices. After 2027, the prairie will be included in the City’s rotation for prescribed burns that have been conducted at RTA since 2006. These burns will continue to be a management tool for this parcel into the future.</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The restoration efforts will ensure the ecological integrity of the remnant prairie by following the Board of Soil and Water Resources recommendations for Remnant Prairie Restoration. First, this restoration will expand upon a previous 3- acre restoration. This will be done by involving project partners, such as Hennepin County, engaging the community, and conserving the diversity both at the species and genetic level. To accomplish this, we will be conducting vegetation surveys to compare species presence and abundance in the previously restored remnant prairie to the current area in which the proposed work will occur.  This will help us to know if we are meeting vegetation goals as the project moves forward. We plan to source remnant prairie seed from neighboring sites on RTA or nearby Prairie Bluff Conservation Area to inter-seed areas that have low diversity. A temporary cover crop from recommended list will be used to help stabilize the steep slopes as cedars are removed and invasive species are treated before seeding.  Any invasive species will first be controlled through spot mowing followed by spot spraying with herbicide, as needed, during dormant periods for native species. Herbicide use will only be used in situations where burning and mowing have proven ineffective as control methods for an invasive species. Herbicide for buckthorn will by applied via daubers to prevent overspray. Once all cedars have been removed, prescribed burns will begin, and continue, in a 3–5-year rotation perpetually.</w:t>
      </w:r>
    </w:p>
    <w:p>
      <w:r>
        <w:rPr>
          <w:b/>
        </w:rPr>
        <w:t xml:space="preserve">4. Describe how the long-term maintenance and management needs of the parcel being restored with these funds will be met and financed into the future. </w:t>
        <w:br/>
      </w:r>
      <w:r>
        <w:t>The City of Eden Prairie already has a prescribed fire program and has been burning at RTA since 2006. The City budget will also contain any funding for contracted prescribed fire at RTA if City resources do not have the capacity to complete the burn. The Forestry &amp; Natural Resources staff can manage invasive species within the project area by utilizing best practices. Annual, monitoring of the project site will provide updates on site conditions and guide future management. We utilize an online mapping program that contains survey forms to document all inspections and management efforts performed on site. We will also document efforts within an updated RTA Conservation Area Management Plan that will act as a living document to record restorations activities, plans, and historical records.</w:t>
      </w:r>
    </w:p>
    <w:p>
      <w:r>
        <w:rPr>
          <w:b/>
        </w:rPr>
        <w:t xml:space="preserve">5. Describe how consideration will be given to contracting with Conservation Corps of Minnesota for any restoration activities. </w:t>
        <w:br/>
      </w:r>
      <w:r>
        <w:t>If available, the Conservation Corps of Minnesota can be contracted to remove red cedars and buckthorn during the winter and pile them for burning. They could also participate in seed collection events as part of their volunteer service hours.</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The vegetation survey methodology to be used will be the nested frequency protocols developed by Diane Larson from Northern Prairie Wildlife Research Center, with surveys occurring on a 3-year cycle. During these surveys we will also document any bare ground or erosion concerns to be addressed, along with yearly inspections of project area.  Before the project starts, we will be conducting a vegetation survey, this summer, of the project area as well as an adjacent, and previously restored, remnant prairie to obtain baseline data. After the retaining wall is complete and initial cedar removals take place, another vegetation survey will be conducted as an initial project evaluation to help us understand what invasives are present, how the seed bank is responding to management practices, and how much seed will need to be collected from remnant sites. After three years, following project completion, we will perform another vegetation survey to determine if diversity goals are being met, and if inter-seeding will need to occur. Annual inspections will use photos from the retaining wall project start date to determine visually if erosion is being reduced.</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2">
          <w:r>
            <w:rPr/>
            <w:t>7621ece6-e12.pdf</w:t>
          </w:r>
        </w:hyperlink>
      </w:r>
    </w:p>
    <w:p>
      <w:pPr>
        <w:pStyle w:val="Heading4"/>
        <w:spacing w:before="40" w:after="20"/>
      </w:pPr>
      <w:r>
        <w:rPr>
          <w:b/>
          <w:i/>
          <w:color w:val="000000"/>
          <w:sz w:val="24"/>
        </w:rPr>
        <w:t>Alternate Text for Map</w:t>
      </w:r>
    </w:p>
    <w:p>
      <w:r>
        <w:t>An aerial map of the work area with the proposed retaining wall area in red and the restorable remnant prairie in translucent yellow along the paved trail in white....</w:t>
      </w:r>
    </w:p>
    <w:p>
      <w:pPr>
        <w:pStyle w:val="Heading4"/>
        <w:spacing w:before="40" w:after="20"/>
      </w:pPr>
      <w:r>
        <w:rPr>
          <w:b/>
          <w:i/>
          <w:color w:val="000000"/>
          <w:sz w:val="24"/>
        </w:rPr>
        <w:t>Financial Capacity</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Annual Comprehensive Financial Review</w:t>
            </w:r>
          </w:p>
        </w:tc>
        <w:tc>
          <w:tcPr>
            <w:tcW w:type="dxa" w:w="5400"/>
          </w:tcPr>
          <w:p>
            <w:r>
              <w:rPr>
                <w:sz w:val="20"/>
              </w:rPr>
            </w:r>
            <w:r>
              <w:rPr>
                <w:color w:val="000000" w:themeColor="hyperlink"/>
                <w:sz w:val="20"/>
                <w:u w:val="single"/>
              </w:rPr>
              <w:hyperlink r:id="rId13">
                <w:r>
                  <w:rPr/>
                  <w:t>5683684e-9e1.pdf</w:t>
                </w:r>
              </w:hyperlink>
            </w:r>
          </w:p>
        </w:tc>
      </w:tr>
    </w:tbl>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City of Council Resolution</w:t>
            </w:r>
          </w:p>
        </w:tc>
        <w:tc>
          <w:tcPr>
            <w:tcW w:type="dxa" w:w="5400"/>
          </w:tcPr>
          <w:p>
            <w:r>
              <w:rPr>
                <w:sz w:val="20"/>
              </w:rPr>
            </w:r>
            <w:r>
              <w:rPr>
                <w:color w:val="000000" w:themeColor="hyperlink"/>
                <w:sz w:val="20"/>
                <w:u w:val="single"/>
              </w:rPr>
              <w:hyperlink r:id="rId14">
                <w:r>
                  <w:rPr/>
                  <w:t>1eee94b6-8de.pdf</w:t>
                </w:r>
              </w:hyperlink>
            </w:r>
          </w:p>
        </w:tc>
      </w:tr>
    </w:tbl>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Budget Supplements</w:t>
            </w:r>
          </w:p>
        </w:tc>
        <w:tc>
          <w:tcPr>
            <w:tcW w:type="dxa" w:w="5400"/>
          </w:tcPr>
          <w:p>
            <w:r>
              <w:rPr>
                <w:sz w:val="20"/>
              </w:rPr>
            </w:r>
            <w:r>
              <w:rPr>
                <w:color w:val="000000" w:themeColor="hyperlink"/>
                <w:sz w:val="20"/>
                <w:u w:val="single"/>
              </w:rPr>
              <w:hyperlink r:id="rId15">
                <w:r>
                  <w:rPr/>
                  <w:t>358eac3d-3b3.xlsx</w:t>
                </w:r>
              </w:hyperlink>
            </w:r>
          </w:p>
        </w:tc>
      </w:tr>
      <w:tr>
        <w:tc>
          <w:tcPr>
            <w:tcW w:type="dxa" w:w="5400"/>
          </w:tcPr>
          <w:p>
            <w:r>
              <w:rPr>
                <w:sz w:val="20"/>
              </w:rPr>
              <w:t>Capital Project Questionaire</w:t>
            </w:r>
          </w:p>
        </w:tc>
        <w:tc>
          <w:tcPr>
            <w:tcW w:type="dxa" w:w="5400"/>
          </w:tcPr>
          <w:p>
            <w:r>
              <w:rPr>
                <w:sz w:val="20"/>
              </w:rPr>
            </w:r>
            <w:r>
              <w:rPr>
                <w:color w:val="000000" w:themeColor="hyperlink"/>
                <w:sz w:val="20"/>
                <w:u w:val="single"/>
              </w:rPr>
              <w:hyperlink r:id="rId16">
                <w:r>
                  <w:rPr/>
                  <w:t>4efaf58a-66e.pdf</w:t>
                </w:r>
              </w:hyperlink>
            </w:r>
          </w:p>
        </w:tc>
      </w:tr>
      <w:tr>
        <w:tc>
          <w:tcPr>
            <w:tcW w:type="dxa" w:w="5400"/>
          </w:tcPr>
          <w:p>
            <w:r>
              <w:rPr>
                <w:sz w:val="20"/>
              </w:rPr>
              <w:t>SHPO Submission</w:t>
            </w:r>
          </w:p>
        </w:tc>
        <w:tc>
          <w:tcPr>
            <w:tcW w:type="dxa" w:w="5400"/>
          </w:tcPr>
          <w:p>
            <w:r>
              <w:rPr>
                <w:sz w:val="20"/>
              </w:rPr>
            </w:r>
            <w:r>
              <w:rPr>
                <w:color w:val="000000" w:themeColor="hyperlink"/>
                <w:sz w:val="20"/>
                <w:u w:val="single"/>
              </w:rPr>
              <w:hyperlink r:id="rId17">
                <w:r>
                  <w:rPr/>
                  <w:t>db4722f1-e49.pdf</w:t>
                </w:r>
              </w:hyperlink>
            </w:r>
          </w:p>
        </w:tc>
      </w:tr>
      <w:tr>
        <w:tc>
          <w:tcPr>
            <w:tcW w:type="dxa" w:w="5400"/>
          </w:tcPr>
          <w:p>
            <w:r>
              <w:rPr>
                <w:sz w:val="20"/>
              </w:rPr>
              <w:t>Hennepin County Letter of Support</w:t>
            </w:r>
          </w:p>
        </w:tc>
        <w:tc>
          <w:tcPr>
            <w:tcW w:type="dxa" w:w="5400"/>
          </w:tcPr>
          <w:p>
            <w:r>
              <w:rPr>
                <w:sz w:val="20"/>
              </w:rPr>
            </w:r>
            <w:r>
              <w:rPr>
                <w:color w:val="000000" w:themeColor="hyperlink"/>
                <w:sz w:val="20"/>
                <w:u w:val="single"/>
              </w:rPr>
              <w:hyperlink r:id="rId18">
                <w:r>
                  <w:rPr/>
                  <w:t>00514e2a-6d7.pdf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No substantive change made.</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N/A</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Yes</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City of Eden Prairie: Amy Markle, Karli Wittner, Tyler Menden; Stantec: Sarah Harding</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Yes, I understand</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7621ece6-e12.pdf" TargetMode="External"/><Relationship Id="rId13" Type="http://schemas.openxmlformats.org/officeDocument/2006/relationships/hyperlink" Target="https://lccmrprojectmgmt.leg.mn/media/attachments/5683684e-9e1.pdf" TargetMode="External"/><Relationship Id="rId14" Type="http://schemas.openxmlformats.org/officeDocument/2006/relationships/hyperlink" Target="https://lccmrprojectmgmt.leg.mn/media/attachments/1eee94b6-8de.pdf" TargetMode="External"/><Relationship Id="rId15" Type="http://schemas.openxmlformats.org/officeDocument/2006/relationships/hyperlink" Target="https://lccmrprojectmgmt.leg.mn/media/attachments/358eac3d-3b3.xlsx" TargetMode="External"/><Relationship Id="rId16" Type="http://schemas.openxmlformats.org/officeDocument/2006/relationships/hyperlink" Target="https://lccmrprojectmgmt.leg.mn/media/attachments/4efaf58a-66e.pdf" TargetMode="External"/><Relationship Id="rId17" Type="http://schemas.openxmlformats.org/officeDocument/2006/relationships/hyperlink" Target="https://lccmrprojectmgmt.leg.mn/media/attachments/db4722f1-e49.pdf" TargetMode="External"/><Relationship Id="rId18" Type="http://schemas.openxmlformats.org/officeDocument/2006/relationships/hyperlink" Target="https://lccmrprojectmgmt.leg.mn/media/attachments/00514e2a-6d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RTA Maintenance Trail Stabilization Project</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