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2025-107</w:t>
      </w:r>
    </w:p>
    <w:p>
      <w:r>
        <w:rPr>
          <w:b/>
        </w:rPr>
        <w:t xml:space="preserve">Staff Lead: </w:t>
      </w:r>
      <w:r>
        <w:t>Tiffany Schaufler</w:t>
      </w:r>
    </w:p>
    <w:p>
      <w:r>
        <w:rPr>
          <w:b/>
        </w:rPr>
        <w:t xml:space="preserve">Date this document submitted to LCCMR: </w:t>
      </w:r>
      <w:r>
        <w:t>June 11, 2025</w:t>
      </w:r>
    </w:p>
    <w:p>
      <w:r>
        <w:rPr>
          <w:b/>
        </w:rPr>
        <w:t xml:space="preserve">Project Title: </w:t>
      </w:r>
      <w:r>
        <w:t>Soil Health Management for Water Storage</w:t>
      </w:r>
    </w:p>
    <w:p>
      <w:r>
        <w:rPr>
          <w:b/>
        </w:rPr>
        <w:t xml:space="preserve">Project Budget: </w:t>
      </w:r>
      <w:r>
        <w:t>$454,000</w:t>
      </w:r>
    </w:p>
    <w:p/>
    <w:p>
      <w:pPr>
        <w:pStyle w:val="Heading2"/>
        <w:spacing w:before="0" w:after="80"/>
      </w:pPr>
      <w:r>
        <w:rPr>
          <w:b/>
          <w:color w:val="2C559C"/>
          <w:sz w:val="28"/>
        </w:rPr>
        <w:t>Project Manager Information</w:t>
      </w:r>
    </w:p>
    <w:p>
      <w:r>
        <w:rPr>
          <w:b/>
        </w:rPr>
        <w:t xml:space="preserve">Name: </w:t>
      </w:r>
      <w:r>
        <w:t>Marcelle Lewandowski</w:t>
      </w:r>
    </w:p>
    <w:p>
      <w:r>
        <w:rPr>
          <w:b/>
        </w:rPr>
        <w:t xml:space="preserve">Organization: </w:t>
      </w:r>
      <w:r>
        <w:t>U of MN - Water Resources Center</w:t>
      </w:r>
    </w:p>
    <w:p>
      <w:r>
        <w:rPr>
          <w:b/>
        </w:rPr>
        <w:t xml:space="preserve">Office Telephone: </w:t>
      </w:r>
      <w:r>
        <w:t>(612) 624-6765</w:t>
      </w:r>
    </w:p>
    <w:p>
      <w:r>
        <w:rPr>
          <w:b/>
        </w:rPr>
        <w:t xml:space="preserve">Email: </w:t>
      </w:r>
      <w:r>
        <w:t>alewand@umn.edu</w:t>
      </w:r>
    </w:p>
    <w:p>
      <w:r>
        <w:rPr>
          <w:b/>
        </w:rPr>
        <w:t xml:space="preserve">Web Address: </w:t>
      </w:r>
      <w:r>
        <w:t>https://www.wrc.umn.edu/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04h</w:t>
      </w:r>
    </w:p>
    <w:p>
      <w:r>
        <w:rPr>
          <w:b/>
        </w:rPr>
        <w:t xml:space="preserve">Appropriation Language: </w:t>
      </w:r>
      <w:r>
        <w:t xml:space="preserve">$454,000 the first year is from the trust fund to the Board of Regents of the University of Minnesota for the Water Resources Center to conduct on-farm and model-based research and develop guidance for watershed planners and land managers to effectively use soil health management to achieve water storage and water quality goals.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create guidance for watershed managers using in-field and near-riparian soil health practices to reduce streamflow. We will complete essential research and modeling connecting soil management to watershed impacts.</w:t>
      </w:r>
    </w:p>
    <w:p>
      <w:pPr>
        <w:spacing w:after="60"/>
      </w:pPr>
      <w:r>
        <w:rPr>
          <w:b/>
        </w:rPr>
        <w:t>Describe the opportunity or problem your proposal seeks to address. Include any relevant background information.</w:t>
      </w:r>
    </w:p>
    <w:p>
      <w:r>
        <w:t>Two of the state’s most challenging water quality issues – excess sediment and nitrogen loads – are largely driven by the increasing rates of streamflow and increasing amounts and intensity of precipitation. While driven by climate, streamflow rates and volume can be mitigated by increasing water storage across the watershed to reduce or delay the precipitation that reaches the stream channel. One approach to increasing water storage is to replace surface storage that was removed from the land when wetlands and closed depressions were drained to allow for agriculture. A complementary approach is to increase the amount of water stored in the soil by improving soil structure and increasing soil organic matter. While soil water storage is theoretically important, only soil organic matter has been considered in previous estimates of storage potential. We do not know the magnitude of impacts of changes to soil structure, and we do not know where in a watershed to site soil water storage improvements to maximize impacts. This research will connect state investments in water storage to in-field practices.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conduct the on-farm and model-based research needed to understand practical issues of soil water storage. Then we will create guidance to help watershed planners and land managers effectively use soil health management to help mitigate streamflow.</w:t>
        <w:br/>
        <w:br/>
        <w:t>On-farm studies will measure soil health, soil aggregation, and soil water storage potential to determine the potential for realistic soil management practices to alter soil hydrology. While many studies have measured changes in soil carbon and biology in response to soil management, few have examined the changes in soil structure and hydrology.</w:t>
        <w:br/>
        <w:br/>
        <w:t xml:space="preserve">The field results will be used to adjust parameters in an existing model such as SWAT to ensure that the model accounts for changes to in-field soil hydrology. Then, the model will be run to quantify the potential impacts of land management on streamflow. </w:t>
        <w:br/>
        <w:br/>
        <w:t>Practical guidance will be written based on the field and modeling work. The guide will be targeted at watershed planners and land managers to help them effectively prioritize land use change incentives and to improve the probability that land management practices will achieve desired outcomes</w:t>
      </w:r>
    </w:p>
    <w:p>
      <w:pPr>
        <w:spacing w:after="60"/>
      </w:pPr>
      <w:r>
        <w:rPr>
          <w:b/>
        </w:rPr>
        <w:t xml:space="preserve">What are the specific project outcomes as they relate to the public purpose of protection, conservation, preservation, and enhancement of the state’s natural resources? </w:t>
      </w:r>
    </w:p>
    <w:p>
      <w:r>
        <w:t>By quantifying the potential to change water storage capacity in agricultural lands, planners will be able to evaluate the impact on watershed goals of in-field practices in combination with structural storage practices. They will be able to effectively prioritize specific soil health practices and programs to achieve their water storage and water quality goals. Soil health approaches enhance agricultural production, so they keep land in production while protecting water.</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SE</w:t>
      </w:r>
      <w:r>
        <w:t xml:space="preserve">, </w:t>
      </w:r>
      <w:r>
        <w:t>SW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On-farm measurements of soil hydrology</w:t>
      </w:r>
    </w:p>
    <w:p>
      <w:r>
        <w:rPr>
          <w:b/>
        </w:rPr>
        <w:t xml:space="preserve">Activity Budget: </w:t>
      </w:r>
      <w:r>
        <w:t>$128,000</w:t>
      </w:r>
    </w:p>
    <w:p>
      <w:r>
        <w:rPr>
          <w:b/>
        </w:rPr>
        <w:t xml:space="preserve">Activity Description: </w:t>
        <w:br/>
      </w:r>
      <w:r>
        <w:t>Selecting fields that span a gradient of diversity, disturbance, and perenniality on two landscape positions, we will characterize soil physical properties to understand how water is moving through and being retained in fields with different management. Specifically, we will compare 1) conventional annual crop fields with full-width tillage, low diversity; 2) soil health management systems (SHMS's) of annual cropping systems; and 3) perennial systems including pasture, hay, or undisturbed grassland. To understand how water is moving through and being retained in fields with different management, we will assess soil physical properties, soil pore architecture, and the quantity of water stored in the soil as impacted by preferential flow. Measures of soil structure will include the VESS (see Activity 3) and tracer dye to identify hydraulically active pores.</w:t>
        <w:br/>
        <w:t>The first fall will be devoted to identifying cooperating landowners and doing field visits to confirm soil type matches. In the second year, we will take samples shortly after planting, and midsummer, to capture some seasonal variability in soil processes (avoiding spring and fall to accommodate field work in annual cropping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 research sites</w:t>
            </w:r>
          </w:p>
        </w:tc>
        <w:tc>
          <w:tcPr>
            <w:tcW w:type="dxa" w:w="2160"/>
          </w:tcPr>
          <w:p>
            <w:pPr>
              <w:jc w:val="right"/>
            </w:pPr>
            <w:r>
              <w:rPr>
                <w:sz w:val="20"/>
              </w:rPr>
              <w:t>December 31, 2025</w:t>
            </w:r>
          </w:p>
        </w:tc>
      </w:tr>
      <w:tr>
        <w:tc>
          <w:tcPr>
            <w:tcW w:type="dxa" w:w="8640"/>
          </w:tcPr>
          <w:p>
            <w:r>
              <w:rPr>
                <w:sz w:val="20"/>
              </w:rPr>
              <w:t>Take soil cores and make in-field measurements including VESS and tracer dye evaluations</w:t>
            </w:r>
          </w:p>
        </w:tc>
        <w:tc>
          <w:tcPr>
            <w:tcW w:type="dxa" w:w="2160"/>
          </w:tcPr>
          <w:p>
            <w:pPr>
              <w:jc w:val="right"/>
            </w:pPr>
            <w:r>
              <w:rPr>
                <w:sz w:val="20"/>
              </w:rPr>
              <w:t>August 31, 2026</w:t>
            </w:r>
          </w:p>
        </w:tc>
      </w:tr>
      <w:tr>
        <w:tc>
          <w:tcPr>
            <w:tcW w:type="dxa" w:w="8640"/>
          </w:tcPr>
          <w:p>
            <w:r>
              <w:rPr>
                <w:sz w:val="20"/>
              </w:rPr>
              <w:t>Analyze field data</w:t>
            </w:r>
          </w:p>
        </w:tc>
        <w:tc>
          <w:tcPr>
            <w:tcW w:type="dxa" w:w="2160"/>
          </w:tcPr>
          <w:p>
            <w:pPr>
              <w:jc w:val="right"/>
            </w:pPr>
            <w:r>
              <w:rPr>
                <w:sz w:val="20"/>
              </w:rPr>
              <w:t>May 31, 2027</w:t>
            </w:r>
          </w:p>
        </w:tc>
      </w:tr>
    </w:tbl>
    <w:p/>
    <w:p>
      <w:pPr>
        <w:pStyle w:val="Heading3"/>
        <w:spacing w:after="60"/>
      </w:pPr>
      <w:r>
        <w:rPr>
          <w:b/>
          <w:color w:val="254885"/>
          <w:sz w:val="26"/>
        </w:rPr>
        <w:t>Activity 2: Model watershed-scale hydrologic changes in response to soil health practices</w:t>
      </w:r>
    </w:p>
    <w:p>
      <w:r>
        <w:rPr>
          <w:b/>
        </w:rPr>
        <w:t xml:space="preserve">Activity Budget: </w:t>
      </w:r>
      <w:r>
        <w:t>$233,000</w:t>
      </w:r>
    </w:p>
    <w:p>
      <w:r>
        <w:rPr>
          <w:b/>
        </w:rPr>
        <w:t xml:space="preserve">Activity Description: </w:t>
        <w:br/>
      </w:r>
      <w:r>
        <w:t>We will examine several hydrologic models (e.g. SWAT, GSSHA, HSPF), and determine which best accounts for the impact of field-scale changes in soil health on watershed water balance.  We will consider the model’s theoretical framework and availability of already-calibrated projects for agricultural watersheds in the Minnesota River basin. Additional calibration will be conducted on the selected model to obtain accurate model predictions of watershed hydrology given current management and land-use.  A sensitivity analysis may then be conducted to quantify how the model’s predictions of soil-water storage and streamflow change consider changes in input parameters related to soil health. A review of literature will be used to help identify input parameters to include in the sensitivity analysis.</w:t>
        <w:br/>
        <w:t>Once the appropriate model is selected and calibrated for baseline conditions, we will calibrate the model’s soil parameters to account for changes in the effective water holding capacity of the soil based on data from Activity 1. Then, we will apply a “soil health management practice” scenario to the model, running the model at its full watershed scale, and investigate impacts of SHMS on watershed hydrology.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Select a model that will best represent impacts of soil management changes</w:t>
            </w:r>
          </w:p>
        </w:tc>
        <w:tc>
          <w:tcPr>
            <w:tcW w:type="dxa" w:w="2160"/>
          </w:tcPr>
          <w:p>
            <w:pPr>
              <w:jc w:val="right"/>
            </w:pPr>
            <w:r>
              <w:rPr>
                <w:sz w:val="20"/>
              </w:rPr>
              <w:t>October 31, 2025</w:t>
            </w:r>
          </w:p>
        </w:tc>
      </w:tr>
      <w:tr>
        <w:tc>
          <w:tcPr>
            <w:tcW w:type="dxa" w:w="8640"/>
          </w:tcPr>
          <w:p>
            <w:r>
              <w:rPr>
                <w:sz w:val="20"/>
              </w:rPr>
              <w:t>Complete sensitivity analysis to identify key soil parameters</w:t>
            </w:r>
          </w:p>
        </w:tc>
        <w:tc>
          <w:tcPr>
            <w:tcW w:type="dxa" w:w="2160"/>
          </w:tcPr>
          <w:p>
            <w:pPr>
              <w:jc w:val="right"/>
            </w:pPr>
            <w:r>
              <w:rPr>
                <w:sz w:val="20"/>
              </w:rPr>
              <w:t>December 31, 2025</w:t>
            </w:r>
          </w:p>
        </w:tc>
      </w:tr>
      <w:tr>
        <w:tc>
          <w:tcPr>
            <w:tcW w:type="dxa" w:w="8640"/>
          </w:tcPr>
          <w:p>
            <w:r>
              <w:rPr>
                <w:sz w:val="20"/>
              </w:rPr>
              <w:t>Re-run model and simulations using field-validated parameters</w:t>
            </w:r>
          </w:p>
        </w:tc>
        <w:tc>
          <w:tcPr>
            <w:tcW w:type="dxa" w:w="2160"/>
          </w:tcPr>
          <w:p>
            <w:pPr>
              <w:jc w:val="right"/>
            </w:pPr>
            <w:r>
              <w:rPr>
                <w:sz w:val="20"/>
              </w:rPr>
              <w:t>October 31, 2027</w:t>
            </w:r>
          </w:p>
        </w:tc>
      </w:tr>
    </w:tbl>
    <w:p/>
    <w:p>
      <w:pPr>
        <w:pStyle w:val="Heading3"/>
        <w:spacing w:after="60"/>
      </w:pPr>
      <w:r>
        <w:rPr>
          <w:b/>
          <w:color w:val="254885"/>
          <w:sz w:val="26"/>
        </w:rPr>
        <w:t>Activity 3: Evaluate the "Visual Evaluation of Soil Structure"</w:t>
      </w:r>
    </w:p>
    <w:p>
      <w:r>
        <w:rPr>
          <w:b/>
        </w:rPr>
        <w:t xml:space="preserve">Activity Budget: </w:t>
      </w:r>
      <w:r>
        <w:t>$70,000</w:t>
      </w:r>
    </w:p>
    <w:p>
      <w:r>
        <w:rPr>
          <w:b/>
        </w:rPr>
        <w:t xml:space="preserve">Activity Description: </w:t>
        <w:br/>
      </w:r>
      <w:r>
        <w:t>The Visual Evaluation of Soil Structure (VESS) is a rigorous, qualitative soil assessment. While it requires training to use, it can be implemented by local agronomists and conservationists.  The VESS will be conducted at the same field sites as in Activity 1, but at more positions across each field. We will analyze whether the VESS results adequately reflect results from the other soil physical metrics. If successful, it will be promoted as a practical tool for tracking whether changes to soil management systems are having the desired impact on soil hydrology. Currently, the soil physical metrics available for local advisors include ring infiltrometers, aggregate stability, or rainfall simulators. These are useful demonstrations, but inadequate for field assessments.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in-field VESS assessments</w:t>
            </w:r>
          </w:p>
        </w:tc>
        <w:tc>
          <w:tcPr>
            <w:tcW w:type="dxa" w:w="2160"/>
          </w:tcPr>
          <w:p>
            <w:pPr>
              <w:jc w:val="right"/>
            </w:pPr>
            <w:r>
              <w:rPr>
                <w:sz w:val="20"/>
              </w:rPr>
              <w:t>August 31, 2026</w:t>
            </w:r>
          </w:p>
        </w:tc>
      </w:tr>
      <w:tr>
        <w:tc>
          <w:tcPr>
            <w:tcW w:type="dxa" w:w="8640"/>
          </w:tcPr>
          <w:p>
            <w:r>
              <w:rPr>
                <w:sz w:val="20"/>
              </w:rPr>
              <w:t>Analyze results</w:t>
            </w:r>
          </w:p>
        </w:tc>
        <w:tc>
          <w:tcPr>
            <w:tcW w:type="dxa" w:w="2160"/>
          </w:tcPr>
          <w:p>
            <w:pPr>
              <w:jc w:val="right"/>
            </w:pPr>
            <w:r>
              <w:rPr>
                <w:sz w:val="20"/>
              </w:rPr>
              <w:t>May 31, 2027</w:t>
            </w:r>
          </w:p>
        </w:tc>
      </w:tr>
      <w:tr>
        <w:tc>
          <w:tcPr>
            <w:tcW w:type="dxa" w:w="8640"/>
          </w:tcPr>
          <w:p>
            <w:r>
              <w:rPr>
                <w:sz w:val="20"/>
              </w:rPr>
              <w:t>Write guidance for non-researchers to use VESS</w:t>
            </w:r>
          </w:p>
        </w:tc>
        <w:tc>
          <w:tcPr>
            <w:tcW w:type="dxa" w:w="2160"/>
          </w:tcPr>
          <w:p>
            <w:pPr>
              <w:jc w:val="right"/>
            </w:pPr>
            <w:r>
              <w:rPr>
                <w:sz w:val="20"/>
              </w:rPr>
              <w:t>September 30, 2027</w:t>
            </w:r>
          </w:p>
        </w:tc>
      </w:tr>
    </w:tbl>
    <w:p/>
    <w:p>
      <w:pPr>
        <w:pStyle w:val="Heading3"/>
        <w:spacing w:after="60"/>
      </w:pPr>
      <w:r>
        <w:rPr>
          <w:b/>
          <w:color w:val="254885"/>
          <w:sz w:val="26"/>
        </w:rPr>
        <w:t>Activity 4: Write guidance for enhancing soil water storage.</w:t>
      </w:r>
    </w:p>
    <w:p>
      <w:r>
        <w:rPr>
          <w:b/>
        </w:rPr>
        <w:t xml:space="preserve">Activity Budget: </w:t>
      </w:r>
      <w:r>
        <w:t>$23,000</w:t>
      </w:r>
    </w:p>
    <w:p>
      <w:r>
        <w:rPr>
          <w:b/>
        </w:rPr>
        <w:t xml:space="preserve">Activity Description: </w:t>
        <w:br/>
      </w:r>
      <w:r>
        <w:t>Analyze and integrate results from the modeling and the VESS assessment to write guidance for conservationists aiming to use SHMSs to meet watershed flow goals. The guidance will include results from the scenarios above, plus a comparison of the impacts of various soil health management practices (or combination of practices). Begin outreach activities to share the guidance with users.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a plan for outreach and dissemination of results</w:t>
            </w:r>
          </w:p>
        </w:tc>
        <w:tc>
          <w:tcPr>
            <w:tcW w:type="dxa" w:w="2160"/>
          </w:tcPr>
          <w:p>
            <w:pPr>
              <w:jc w:val="right"/>
            </w:pPr>
            <w:r>
              <w:rPr>
                <w:sz w:val="20"/>
              </w:rPr>
              <w:t>September 30, 2027</w:t>
            </w:r>
          </w:p>
        </w:tc>
      </w:tr>
      <w:tr>
        <w:tc>
          <w:tcPr>
            <w:tcW w:type="dxa" w:w="8640"/>
          </w:tcPr>
          <w:p>
            <w:r>
              <w:rPr>
                <w:sz w:val="20"/>
              </w:rPr>
              <w:t>Write guidance on using soil health management to meet streamflow goals</w:t>
            </w:r>
          </w:p>
        </w:tc>
        <w:tc>
          <w:tcPr>
            <w:tcW w:type="dxa" w:w="2160"/>
          </w:tcPr>
          <w:p>
            <w:pPr>
              <w:jc w:val="right"/>
            </w:pPr>
            <w:r>
              <w:rPr>
                <w:sz w:val="20"/>
              </w:rPr>
              <w:t>February 28, 2028</w:t>
            </w:r>
          </w:p>
        </w:tc>
      </w:tr>
      <w:tr>
        <w:tc>
          <w:tcPr>
            <w:tcW w:type="dxa" w:w="8640"/>
          </w:tcPr>
          <w:p>
            <w:r>
              <w:rPr>
                <w:sz w:val="20"/>
              </w:rPr>
              <w:t>Begin dissemination of guidance</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Grace Wilson</w:t>
            </w:r>
          </w:p>
        </w:tc>
        <w:tc>
          <w:tcPr>
            <w:tcW w:type="dxa" w:w="1440"/>
          </w:tcPr>
          <w:p>
            <w:r>
              <w:rPr>
                <w:sz w:val="20"/>
              </w:rPr>
              <w:t>U of M Dept of Bioproducts and Biosystems Engineering</w:t>
            </w:r>
          </w:p>
        </w:tc>
        <w:tc>
          <w:tcPr>
            <w:tcW w:type="dxa" w:w="6840"/>
          </w:tcPr>
          <w:p>
            <w:r>
              <w:rPr>
                <w:sz w:val="20"/>
              </w:rPr>
              <w:t>Design and implement Activities 1&amp;4</w:t>
            </w:r>
          </w:p>
        </w:tc>
        <w:tc>
          <w:tcPr>
            <w:tcW w:type="dxa" w:w="1080"/>
          </w:tcPr>
          <w:p>
            <w:r>
              <w:rPr>
                <w:sz w:val="20"/>
              </w:rPr>
              <w:t>Yes</w:t>
            </w:r>
          </w:p>
        </w:tc>
      </w:tr>
      <w:tr>
        <w:tc>
          <w:tcPr>
            <w:tcW w:type="dxa" w:w="1440"/>
          </w:tcPr>
          <w:p>
            <w:r>
              <w:rPr>
                <w:sz w:val="20"/>
              </w:rPr>
              <w:t>Dr. Anna Cates</w:t>
            </w:r>
          </w:p>
        </w:tc>
        <w:tc>
          <w:tcPr>
            <w:tcW w:type="dxa" w:w="1440"/>
          </w:tcPr>
          <w:p>
            <w:r>
              <w:rPr>
                <w:sz w:val="20"/>
              </w:rPr>
              <w:t>U of M Dept of Soil Water and Climate</w:t>
            </w:r>
          </w:p>
        </w:tc>
        <w:tc>
          <w:tcPr>
            <w:tcW w:type="dxa" w:w="6840"/>
          </w:tcPr>
          <w:p>
            <w:r>
              <w:rPr>
                <w:sz w:val="20"/>
              </w:rPr>
              <w:t>Design and implement Activity 2</w:t>
            </w:r>
          </w:p>
        </w:tc>
        <w:tc>
          <w:tcPr>
            <w:tcW w:type="dxa" w:w="1080"/>
          </w:tcPr>
          <w:p>
            <w:r>
              <w:rPr>
                <w:sz w:val="20"/>
              </w:rPr>
              <w:t>Yes</w:t>
            </w:r>
          </w:p>
        </w:tc>
      </w:tr>
      <w:tr>
        <w:tc>
          <w:tcPr>
            <w:tcW w:type="dxa" w:w="1440"/>
          </w:tcPr>
          <w:p>
            <w:r>
              <w:rPr>
                <w:sz w:val="20"/>
              </w:rPr>
              <w:t>Dr. Joe Magner</w:t>
            </w:r>
          </w:p>
        </w:tc>
        <w:tc>
          <w:tcPr>
            <w:tcW w:type="dxa" w:w="1440"/>
          </w:tcPr>
          <w:p>
            <w:r>
              <w:rPr>
                <w:sz w:val="20"/>
              </w:rPr>
              <w:t>U of M Dept of Bioproducts and Biosystems Engineering</w:t>
            </w:r>
          </w:p>
        </w:tc>
        <w:tc>
          <w:tcPr>
            <w:tcW w:type="dxa" w:w="6840"/>
          </w:tcPr>
          <w:p>
            <w:r>
              <w:rPr>
                <w:sz w:val="20"/>
              </w:rPr>
              <w:t>Design and implement Activities 3</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mission of MN Office for Soil Health (MOSH) is to expand understanding and implementation of soil health management systems. The MOSH audience is local government conservation professionals, private sector agronomists, other ag advisors, and conservation and watershed planners in state agencies. Dissemination of lessons from this project will fit well into MOSH activities. We will also work with soil health and watershed specialists at the Board of Water and Soil Resources and Pollution Control Agency to ensure lessons are reflected in their programs and guidance, especially soil health incentive programs, Comprehensive Watershed Management Plan development and implementation, and the state Nutrient Reduction Strategy.</w:t>
        <w:br/>
        <w:t>Through its research connections, MOSH will also ensure the information is updated and linked to future studies. Field data will be added to the G.E.M.S Soil Health Database – a privacy-protected system maintained by MOSH for sharing soil health measurements with other researchers for future analyses.</w:t>
        <w:br/>
        <w:t>For all products resulting from this project, the Environment and Natural Resources Trust Fund will be acknowledged through the use of the trust fund logo or attribution language on project print and electronic media, publications, signage, and other communications per the ENRTF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The MN Office for Soil Health (MOSH) is equipped to share results from this project through its outreach activities and its network of local conservation and agricultural professionals. MOSH will also ensure the information is updated and linked to future research projects. Field data will be added to the G.E.M.S Soil Health Database – a privacy-protected system maintained by MOSH for sharing soil health measurements with other researchers for future analyses. </w:t>
        <w:br/>
        <w:t>The soil health guidance will be shared with BWSR and PCA managers who support Comprehensive Watershed Management Plan development and implementation.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Quantifying New Urban Precipitation and Water Reality</w:t>
            </w:r>
          </w:p>
        </w:tc>
        <w:tc>
          <w:tcPr>
            <w:tcW w:type="dxa" w:w="4680"/>
          </w:tcPr>
          <w:p>
            <w:r>
              <w:rPr>
                <w:sz w:val="20"/>
              </w:rPr>
              <w:t>M.L. 2021, First Special Session, Chp. 6, Art. 5, Sec. 2, Subd. 04e</w:t>
            </w:r>
          </w:p>
        </w:tc>
        <w:tc>
          <w:tcPr>
            <w:tcW w:type="dxa" w:w="1440"/>
          </w:tcPr>
          <w:p>
            <w:pPr>
              <w:jc w:val="right"/>
            </w:pPr>
            <w:r>
              <w:rPr>
                <w:sz w:val="20"/>
              </w:rPr>
              <w:t>$500,000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Project coordination and reporting. Lead writing of final guidance document.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$21,285</w:t>
            </w:r>
          </w:p>
        </w:tc>
      </w:tr>
      <w:tr>
        <w:tc>
          <w:tcPr>
            <w:tcW w:type="dxa" w:w="864"/>
          </w:tcPr>
          <w:p>
            <w:r>
              <w:rPr>
                <w:sz w:val="20"/>
              </w:rPr>
              <w:t>Co-PI</w:t>
            </w:r>
          </w:p>
        </w:tc>
        <w:tc>
          <w:tcPr>
            <w:tcW w:type="dxa" w:w="1440"/>
          </w:tcPr>
          <w:p>
            <w:r>
              <w:rPr>
                <w:sz w:val="20"/>
              </w:rPr>
            </w:r>
          </w:p>
        </w:tc>
        <w:tc>
          <w:tcPr>
            <w:tcW w:type="dxa" w:w="5472"/>
          </w:tcPr>
          <w:p>
            <w:r>
              <w:rPr>
                <w:sz w:val="20"/>
              </w:rPr>
              <w:t>supervise modeling work (Activity 2), contribute to sensitivity analysis, writing of reports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$56,360</w:t>
            </w:r>
          </w:p>
        </w:tc>
      </w:tr>
      <w:tr>
        <w:tc>
          <w:tcPr>
            <w:tcW w:type="dxa" w:w="864"/>
          </w:tcPr>
          <w:p>
            <w:r>
              <w:rPr>
                <w:sz w:val="20"/>
              </w:rPr>
              <w:t>Co-PI</w:t>
            </w:r>
          </w:p>
        </w:tc>
        <w:tc>
          <w:tcPr>
            <w:tcW w:type="dxa" w:w="1440"/>
          </w:tcPr>
          <w:p>
            <w:r>
              <w:rPr>
                <w:sz w:val="20"/>
              </w:rPr>
            </w:r>
          </w:p>
        </w:tc>
        <w:tc>
          <w:tcPr>
            <w:tcW w:type="dxa" w:w="5472"/>
          </w:tcPr>
          <w:p>
            <w:r>
              <w:rPr>
                <w:sz w:val="20"/>
              </w:rPr>
              <w:t>Design and implement Activity 1</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$14,938</w:t>
            </w:r>
          </w:p>
        </w:tc>
      </w:tr>
      <w:tr>
        <w:tc>
          <w:tcPr>
            <w:tcW w:type="dxa" w:w="864"/>
          </w:tcPr>
          <w:p>
            <w:r>
              <w:rPr>
                <w:sz w:val="20"/>
              </w:rPr>
              <w:t>Co-PI</w:t>
            </w:r>
          </w:p>
        </w:tc>
        <w:tc>
          <w:tcPr>
            <w:tcW w:type="dxa" w:w="1440"/>
          </w:tcPr>
          <w:p>
            <w:r>
              <w:rPr>
                <w:sz w:val="20"/>
              </w:rPr>
            </w:r>
          </w:p>
        </w:tc>
        <w:tc>
          <w:tcPr>
            <w:tcW w:type="dxa" w:w="5472"/>
          </w:tcPr>
          <w:p>
            <w:r>
              <w:rPr>
                <w:sz w:val="20"/>
              </w:rPr>
              <w:t>Design and implement Activity 3</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$56,360</w:t>
            </w:r>
          </w:p>
        </w:tc>
      </w:tr>
      <w:tr>
        <w:tc>
          <w:tcPr>
            <w:tcW w:type="dxa" w:w="864"/>
          </w:tcPr>
          <w:p>
            <w:r>
              <w:rPr>
                <w:sz w:val="20"/>
              </w:rPr>
              <w:t>Post-doctoral researcher</w:t>
            </w:r>
          </w:p>
        </w:tc>
        <w:tc>
          <w:tcPr>
            <w:tcW w:type="dxa" w:w="1440"/>
          </w:tcPr>
          <w:p>
            <w:r>
              <w:rPr>
                <w:sz w:val="20"/>
              </w:rPr>
            </w:r>
          </w:p>
        </w:tc>
        <w:tc>
          <w:tcPr>
            <w:tcW w:type="dxa" w:w="5472"/>
          </w:tcPr>
          <w:p>
            <w:r>
              <w:rPr>
                <w:sz w:val="20"/>
              </w:rPr>
              <w:t>Conduct modeling, analyze field data, write grant report and papers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$157,372</w:t>
            </w:r>
          </w:p>
        </w:tc>
      </w:tr>
      <w:tr>
        <w:tc>
          <w:tcPr>
            <w:tcW w:type="dxa" w:w="864"/>
          </w:tcPr>
          <w:p>
            <w:r>
              <w:rPr>
                <w:sz w:val="20"/>
              </w:rPr>
              <w:t>Field and lab manager</w:t>
            </w:r>
          </w:p>
        </w:tc>
        <w:tc>
          <w:tcPr>
            <w:tcW w:type="dxa" w:w="1440"/>
          </w:tcPr>
          <w:p>
            <w:r>
              <w:rPr>
                <w:sz w:val="20"/>
              </w:rPr>
            </w:r>
          </w:p>
        </w:tc>
        <w:tc>
          <w:tcPr>
            <w:tcW w:type="dxa" w:w="5472"/>
          </w:tcPr>
          <w:p>
            <w:r>
              <w:rPr>
                <w:sz w:val="20"/>
              </w:rPr>
              <w:t>Assist post doc and faculty with Activities 1 &amp; 3 data collection and analysis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$40,088</w:t>
            </w:r>
          </w:p>
        </w:tc>
      </w:tr>
      <w:tr>
        <w:tc>
          <w:tcPr>
            <w:tcW w:type="dxa" w:w="864"/>
          </w:tcPr>
          <w:p>
            <w:r>
              <w:rPr>
                <w:sz w:val="20"/>
              </w:rPr>
              <w:t>field staff (multiple undergraduates)</w:t>
            </w:r>
          </w:p>
        </w:tc>
        <w:tc>
          <w:tcPr>
            <w:tcW w:type="dxa" w:w="1440"/>
          </w:tcPr>
          <w:p>
            <w:r>
              <w:rPr>
                <w:sz w:val="20"/>
              </w:rPr>
            </w:r>
          </w:p>
        </w:tc>
        <w:tc>
          <w:tcPr>
            <w:tcW w:type="dxa" w:w="5472"/>
          </w:tcPr>
          <w:p>
            <w:r>
              <w:rPr>
                <w:sz w:val="20"/>
              </w:rPr>
              <w:t>Assist post doc and faculty with field data collection and data management.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1.35</w:t>
            </w:r>
          </w:p>
        </w:tc>
        <w:tc>
          <w:tcPr>
            <w:tcW w:type="dxa" w:w="360"/>
          </w:tcPr>
          <w:p>
            <w:r>
              <w:rPr>
                <w:sz w:val="20"/>
              </w:rPr>
            </w:r>
          </w:p>
        </w:tc>
        <w:tc>
          <w:tcPr>
            <w:tcW w:type="dxa" w:w="1152"/>
          </w:tcPr>
          <w:p>
            <w:pPr>
              <w:jc w:val="right"/>
            </w:pPr>
            <w:r>
              <w:rPr>
                <w:sz w:val="20"/>
              </w:rPr>
              <w:t>$48,760</w:t>
            </w:r>
          </w:p>
        </w:tc>
      </w:tr>
      <w:tr>
        <w:tc>
          <w:tcPr>
            <w:tcW w:type="dxa" w:w="864"/>
          </w:tcPr>
          <w:p>
            <w:r>
              <w:rPr>
                <w:sz w:val="20"/>
              </w:rPr>
              <w:t>Extension support</w:t>
            </w:r>
          </w:p>
        </w:tc>
        <w:tc>
          <w:tcPr>
            <w:tcW w:type="dxa" w:w="1440"/>
          </w:tcPr>
          <w:p>
            <w:r>
              <w:rPr>
                <w:sz w:val="20"/>
              </w:rPr>
            </w:r>
          </w:p>
        </w:tc>
        <w:tc>
          <w:tcPr>
            <w:tcW w:type="dxa" w:w="5472"/>
          </w:tcPr>
          <w:p>
            <w:r>
              <w:rPr>
                <w:sz w:val="20"/>
              </w:rPr>
              <w:t>Assist in field work, data analysis, and outreach for Activities 1 &amp; 3</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$29,957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$425,120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Farmer cooperators</w:t>
            </w:r>
          </w:p>
        </w:tc>
        <w:tc>
          <w:tcPr>
            <w:tcW w:type="dxa" w:w="1440"/>
          </w:tcPr>
          <w:p>
            <w:r>
              <w:rPr>
                <w:sz w:val="20"/>
              </w:rPr>
              <w:t>Service Contract</w:t>
            </w:r>
          </w:p>
        </w:tc>
        <w:tc>
          <w:tcPr>
            <w:tcW w:type="dxa" w:w="5472"/>
          </w:tcPr>
          <w:p>
            <w:r>
              <w:rPr>
                <w:sz w:val="20"/>
              </w:rPr>
              <w:t>Access to farmland for soil sampling, and management data.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 including water containers, water sample containers, soil bags</w:t>
            </w:r>
          </w:p>
        </w:tc>
        <w:tc>
          <w:tcPr>
            <w:tcW w:type="dxa" w:w="4032"/>
          </w:tcPr>
          <w:p>
            <w:r>
              <w:rPr>
                <w:sz w:val="20"/>
              </w:rPr>
              <w:t>Field data collection for Activity 1 &amp;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3 destinations (with 3 sites each) X 335 miles/trip X 6 trips/yr, including 10 hotel rooms/yr for 3 years</w:t>
            </w:r>
          </w:p>
        </w:tc>
        <w:tc>
          <w:tcPr>
            <w:tcW w:type="dxa" w:w="4032"/>
          </w:tcPr>
          <w:p>
            <w:r>
              <w:rPr>
                <w:sz w:val="20"/>
              </w:rPr>
              <w:t>Site visits for Activity 1 &amp; 3 field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$15,975</w:t>
            </w:r>
          </w:p>
        </w:tc>
      </w:tr>
      <w:tr>
        <w:tc>
          <w:tcPr>
            <w:tcW w:type="dxa" w:w="864"/>
          </w:tcPr>
          <w:p>
            <w:r>
              <w:rPr>
                <w:sz w:val="20"/>
              </w:rPr>
            </w:r>
          </w:p>
        </w:tc>
        <w:tc>
          <w:tcPr>
            <w:tcW w:type="dxa" w:w="1440"/>
          </w:tcPr>
          <w:p>
            <w:r>
              <w:rPr>
                <w:sz w:val="20"/>
              </w:rPr>
              <w:t>Miles/ Meals/ Lodging</w:t>
            </w:r>
          </w:p>
        </w:tc>
        <w:tc>
          <w:tcPr>
            <w:tcW w:type="dxa" w:w="5472"/>
          </w:tcPr>
          <w:p>
            <w:r>
              <w:rPr>
                <w:sz w:val="20"/>
              </w:rPr>
              <w:t>Travel for PIs and advisors to visit field sites and evaluate results (4 trips X 300 mi X $0.67/mi)</w:t>
            </w:r>
          </w:p>
        </w:tc>
        <w:tc>
          <w:tcPr>
            <w:tcW w:type="dxa" w:w="4032"/>
          </w:tcPr>
          <w:p>
            <w:r>
              <w:rPr>
                <w:sz w:val="20"/>
              </w:rPr>
              <w:t>Planning and interpretation of field data (Activies 1 &amp;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$16,775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$454,000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f1d2100d-491.pdf</w:t>
          </w:r>
        </w:hyperlink>
      </w:r>
    </w:p>
    <w:p>
      <w:pPr>
        <w:pStyle w:val="Heading4"/>
        <w:spacing w:before="40" w:after="20"/>
      </w:pPr>
      <w:r>
        <w:rPr>
          <w:b/>
          <w:i/>
          <w:color w:val="000000"/>
          <w:sz w:val="24"/>
        </w:rPr>
        <w:t>Alternate Text for Visual Component</w:t>
      </w:r>
    </w:p>
    <w:p>
      <w:r>
        <w:t>The graphic illustrates the causal link from land management, to changes in soil properties, to changes in the amount and quality of water reaching the field edge, to changes in streamflow and water quality....</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UofM SPA Letter of Support-Lewandowski</w:t>
            </w:r>
          </w:p>
        </w:tc>
        <w:tc>
          <w:tcPr>
            <w:tcW w:type="dxa" w:w="5400"/>
          </w:tcPr>
          <w:p>
            <w:r>
              <w:rPr>
                <w:sz w:val="20"/>
              </w:rPr>
            </w:r>
            <w:r>
              <w:rPr>
                <w:color w:val="000000" w:themeColor="hyperlink"/>
                <w:sz w:val="20"/>
                <w:u w:val="single"/>
              </w:rPr>
              <w:hyperlink r:id="rId13">
                <w:r>
                  <w:rPr/>
                  <w:t>3811bacd-c19.pdf</w:t>
                </w:r>
              </w:hyperlink>
            </w:r>
          </w:p>
        </w:tc>
      </w:tr>
      <w:tr>
        <w:tc>
          <w:tcPr>
            <w:tcW w:type="dxa" w:w="5400"/>
          </w:tcPr>
          <w:p>
            <w:r>
              <w:rPr>
                <w:sz w:val="20"/>
              </w:rPr>
              <w:t>2025-107 Research Addendum revised_final</w:t>
            </w:r>
          </w:p>
        </w:tc>
        <w:tc>
          <w:tcPr>
            <w:tcW w:type="dxa" w:w="5400"/>
          </w:tcPr>
          <w:p>
            <w:r>
              <w:rPr>
                <w:sz w:val="20"/>
              </w:rPr>
            </w:r>
            <w:r>
              <w:rPr>
                <w:color w:val="000000" w:themeColor="hyperlink"/>
                <w:sz w:val="20"/>
                <w:u w:val="single"/>
              </w:rPr>
              <w:hyperlink r:id="rId14">
                <w:r>
                  <w:rPr/>
                  <w:t>710eb9dd-5e2.docx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REVISIONS TO WORKPLAN - MAY 2025</w:t>
        <w:br/>
        <w:t>Added milestones to Activities 3 and 4</w:t>
        <w:br/>
        <w:t>Added language to dissemination plan about acknowledging ENRTF in project products</w:t>
        <w:br/>
        <w:br/>
        <w:t>CHANGES AFTER RESEARCH ADDENDUM WAS REVISED</w:t>
        <w:br/>
        <w:t>Combined Activities 1 and 4 to become Activity 2 (modeling).</w:t>
        <w:br/>
        <w:t xml:space="preserve">Activity 2 (field work) became Activity 1. </w:t>
        <w:br/>
        <w:t>Activity 3 was replaced with a new activity to develop VESS.</w:t>
        <w:br/>
        <w:br/>
        <w:t>CHANGES FROM PROPOSAL TO WORKPLAN</w:t>
        <w:br/>
        <w:t xml:space="preserve">Activity 2 has been reduced from three on-farm sites down to two sites, reducing personnel and travel costs. This change will reduce our confidence in the modeling, but should still be informative. This is the most significant change in deliverables. Other deliverables remain unchanged. </w:t>
        <w:br/>
        <w:t xml:space="preserve">Personnel costs were reduced (a) by cutting salary allocated to PIs and (b) by replacing two-and-a-half years of funding for a graduate student with two years of funding for a post-doctoral research assistant. </w:t>
        <w:br/>
        <w:t>Activity 3 sites will be close enough together to slightly reduce travel costs for data collection. Labor costs were increased because they were mis-calculated in the proposal. Costs were eliminated for some monitoring equipment, as it will be available from another source.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Jodi Rahn, U of M Water Resources Center, Finance Professional</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1d2100d-491.pdf" TargetMode="External"/><Relationship Id="rId13" Type="http://schemas.openxmlformats.org/officeDocument/2006/relationships/hyperlink" Target="https://lccmrprojectmgmt.leg.mn/media/attachments/3811bacd-c19.pdf" TargetMode="External"/><Relationship Id="rId14" Type="http://schemas.openxmlformats.org/officeDocument/2006/relationships/hyperlink" Target="https://lccmrprojectmgmt.leg.mn/media/attachments/710eb9dd-5e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Soil Health Management for Water Storage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