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2025-097</w:t>
      </w:r>
    </w:p>
    <w:p>
      <w:r>
        <w:rPr>
          <w:b/>
        </w:rPr>
        <w:t xml:space="preserve">Staff Lead: </w:t>
      </w:r>
      <w:r>
        <w:t>Tom Dietrich</w:t>
      </w:r>
    </w:p>
    <w:p>
      <w:r>
        <w:rPr>
          <w:b/>
        </w:rPr>
        <w:t xml:space="preserve">Date this document submitted to LCCMR: </w:t>
      </w:r>
      <w:r>
        <w:t>June 9, 2025</w:t>
      </w:r>
    </w:p>
    <w:p>
      <w:r>
        <w:rPr>
          <w:b/>
        </w:rPr>
        <w:t xml:space="preserve">Project Title: </w:t>
      </w:r>
      <w:r>
        <w:t>Accelerated Genetic Migration of Bur Oak- 10yr Data</w:t>
      </w:r>
    </w:p>
    <w:p>
      <w:r>
        <w:rPr>
          <w:b/>
        </w:rPr>
        <w:t xml:space="preserve">Project Budget: </w:t>
      </w:r>
      <w:r>
        <w:t>$223,000</w:t>
      </w:r>
    </w:p>
    <w:p/>
    <w:p>
      <w:pPr>
        <w:pStyle w:val="Heading2"/>
        <w:spacing w:before="0" w:after="80"/>
      </w:pPr>
      <w:r>
        <w:rPr>
          <w:b/>
          <w:color w:val="2C559C"/>
          <w:sz w:val="28"/>
        </w:rPr>
        <w:t>Project Manager Information</w:t>
      </w:r>
    </w:p>
    <w:p>
      <w:r>
        <w:rPr>
          <w:b/>
        </w:rPr>
        <w:t xml:space="preserve">Name: </w:t>
      </w:r>
      <w:r>
        <w:t>Wiley Buck</w:t>
      </w:r>
    </w:p>
    <w:p>
      <w:r>
        <w:rPr>
          <w:b/>
        </w:rPr>
        <w:t xml:space="preserve">Organization: </w:t>
      </w:r>
      <w:r>
        <w:t>Great River Greening</w:t>
      </w:r>
    </w:p>
    <w:p>
      <w:r>
        <w:rPr>
          <w:b/>
        </w:rPr>
        <w:t xml:space="preserve">Office Telephone: </w:t>
      </w:r>
      <w:r>
        <w:t>(651) 272-3981</w:t>
      </w:r>
    </w:p>
    <w:p>
      <w:r>
        <w:rPr>
          <w:b/>
        </w:rPr>
        <w:t xml:space="preserve">Email: </w:t>
      </w:r>
      <w:r>
        <w:t>wbuck@greatrivergreening.org</w:t>
      </w:r>
    </w:p>
    <w:p>
      <w:r>
        <w:rPr>
          <w:b/>
        </w:rPr>
        <w:t xml:space="preserve">Web Address: </w:t>
      </w:r>
      <w:r>
        <w:t>https://www.greatrivergreening.org/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08e</w:t>
      </w:r>
    </w:p>
    <w:p>
      <w:r>
        <w:rPr>
          <w:b/>
        </w:rPr>
        <w:t xml:space="preserve">Appropriation Language: </w:t>
      </w:r>
      <w:r>
        <w:t xml:space="preserve">$223,000 the first year is from the trust fund to the commissioner of natural resources for an agreement with Great River Greening to assess the growth and survival of previously restored bur oak ecotypes to inform techniques for improved climate resiliency. This appropriation may also be used to enhance the previous plantings and disseminate results of the study to practitioners, students, landowners, and others.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Collect the 8-10yr data on growth and survival, of three bur oak ecotypes previously planted in four restoration sites under ML2015 "Enhancing Restoration Techniques for Improved Climate Resilience". Disseminate results.</w:t>
      </w:r>
    </w:p>
    <w:p>
      <w:pPr>
        <w:spacing w:after="60"/>
      </w:pPr>
      <w:r>
        <w:rPr>
          <w:b/>
        </w:rPr>
        <w:t>Describe the opportunity or problem your proposal seeks to address. Include any relevant background information.</w:t>
      </w:r>
    </w:p>
    <w:p>
      <w:r>
        <w:t>Trees, particularly oaks, are both slow-growing and key species for many of our natural communities. Growth and survival information for different oak ecotypes in the 10 year time period following planting, needs to be collected in order to inform restoration practices. While tree planting innovations abound, an earlier ML2015 planting offers a longer-term data collection opportunity, and is one of the few initiatives that used an ‘extreme climate/ weather whiplash' ecotype from NW MN, in addition to southern and local ecotypes, presenting an opportunity to compare these three ecotypes in terms of growth and survival during the last 10 years, to inform successful bur oak planting practices in the face of climate change which includes weather extremes, precipitation and temperature ‘whiplash’, in addition to overall warming.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Partnering with the U of M Center for Forest Ecology, we will collect the available 10 year growth and survival data on three (3) bur oak (Quercus macrocarpa) ecotypes planted using standard restoration techniques, in four (4) restoration sites - Allemansratt Wilderness Park (Lindstrom), Bald Eagle-Otter Lakes Regional Park (White Bear Lake), Fish Creek Natural Area (Maplewood) and South Washington Central Corridor (Cottage Grove/Woodbury) - using ‘common garden’ research design. Over 5800 of these bur oak trees were planted in Phase 1 with a previous Trust Fund ML2015 allocation; first year growth and survival data was collected and analyzed with the same allocation. </w:t>
        <w:br/>
        <w:br/>
        <w:t>We will return to each of the four planting sites to collect and analyze this subsequent set of data. We will also enhance the plantings equally using typical restoration practices as warranted, including such treatments as mulching, fencing, mowing and establishing nurse crops, to increase overall growth and survival rates.</w:t>
        <w:br/>
        <w:br/>
        <w:t>Data will be analyzed and a final report prepared. We will then disseminate the results, to be presented to researchers, students and academics by U of M, and by GRG presentations to practitioners. An interpretive panel will be developed, fabricated, and installed at each site.</w:t>
      </w:r>
    </w:p>
    <w:p>
      <w:pPr>
        <w:spacing w:after="60"/>
      </w:pPr>
      <w:r>
        <w:rPr>
          <w:b/>
        </w:rPr>
        <w:t xml:space="preserve">What are the specific project outcomes as they relate to the public purpose of protection, conservation, preservation, and enhancement of the state’s natural resources? </w:t>
      </w:r>
    </w:p>
    <w:p>
      <w:r>
        <w:t>Inform the state-of-the-art for bur oak restoration planting, to help maximize success of future plantings through climate resilience, in the face of climate change. Bur oaks are keystone species for many of Minnesota’s rarest and most important natural communities including oak savanna. Natural rates of migration for bur oaks will not meet the need for rapid migration and recolonization rates with our forecasted climate change. This data will inform future bur oak planting activities.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 Site Plantings</w:t>
      </w:r>
    </w:p>
    <w:p>
      <w:r>
        <w:rPr>
          <w:b/>
        </w:rPr>
        <w:t xml:space="preserve">Activity Budget: </w:t>
      </w:r>
      <w:r>
        <w:t>$10,200</w:t>
      </w:r>
    </w:p>
    <w:p>
      <w:r>
        <w:rPr>
          <w:b/>
        </w:rPr>
        <w:t xml:space="preserve">Activity Description: </w:t>
        <w:br/>
      </w:r>
      <w:r>
        <w:t>Great River Greening and Landowner will perform a walk-through monitoring visit at each of the four (4) original planting sites. During this site visit, we will assess accessibility and access for researchers; identify restoration/enhancement needs for the tree plantings. We will write management briefs for each individual site, including a timeline for enhancement, and in conjunction with the U of MN, a data collection timeline.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4 site visits with all partners and landowners</w:t>
            </w:r>
          </w:p>
        </w:tc>
        <w:tc>
          <w:tcPr>
            <w:tcW w:type="dxa" w:w="2160"/>
          </w:tcPr>
          <w:p>
            <w:pPr>
              <w:jc w:val="right"/>
            </w:pPr>
            <w:r>
              <w:rPr>
                <w:sz w:val="20"/>
              </w:rPr>
              <w:t>November 30, 2025</w:t>
            </w:r>
          </w:p>
        </w:tc>
      </w:tr>
      <w:tr>
        <w:tc>
          <w:tcPr>
            <w:tcW w:type="dxa" w:w="8640"/>
          </w:tcPr>
          <w:p>
            <w:r>
              <w:rPr>
                <w:sz w:val="20"/>
              </w:rPr>
              <w:t>Coordinate Data Collection and Enhancement Timelines and Plans</w:t>
            </w:r>
          </w:p>
        </w:tc>
        <w:tc>
          <w:tcPr>
            <w:tcW w:type="dxa" w:w="2160"/>
          </w:tcPr>
          <w:p>
            <w:pPr>
              <w:jc w:val="right"/>
            </w:pPr>
            <w:r>
              <w:rPr>
                <w:sz w:val="20"/>
              </w:rPr>
              <w:t>March 31, 2026</w:t>
            </w:r>
          </w:p>
        </w:tc>
      </w:tr>
    </w:tbl>
    <w:p/>
    <w:p>
      <w:pPr>
        <w:pStyle w:val="Heading3"/>
        <w:spacing w:after="60"/>
      </w:pPr>
      <w:r>
        <w:rPr>
          <w:b/>
          <w:color w:val="254885"/>
          <w:sz w:val="26"/>
        </w:rPr>
        <w:t>Activity 2: Collect and Analyze Data, Create Report</w:t>
      </w:r>
    </w:p>
    <w:p>
      <w:r>
        <w:rPr>
          <w:b/>
        </w:rPr>
        <w:t xml:space="preserve">Activity Budget: </w:t>
      </w:r>
      <w:r>
        <w:t>$121,400</w:t>
      </w:r>
    </w:p>
    <w:p>
      <w:r>
        <w:rPr>
          <w:b/>
        </w:rPr>
        <w:t xml:space="preserve">Activity Description: </w:t>
        <w:br/>
      </w:r>
      <w:r>
        <w:t>Activity 2. Data collection and analyses by Dr. Lee Frelich with student assistance. This consists of relocating trees of three ecotypes—Roseau (north), Rice County (central) and Des Moines (south)—planted at each of four metro sites in 2016. Trees were individually located with GPS in 2016 (5899 trees). Those that are missing in 2024 will be considered as mortality since 2016. A subset (2589) of trees had height and diameter growth measured during their first full growing season (summer of 2017), and these will be remeasured at the end of eight years of growth (summer 2024). We will test the hypotheses that: (1) survival was equal among the three seed sources (taking into account differences in survival among planting sites to isolate the effects of seed source), and (2) height and diameter growth were equal among the three seed sources (taking into account growth rate differences among planting sites to isolate the seed source effect). The key item of interest is whether there is a difference in mortality, height growth and diameter growth among the three seed sources. South seed source trees should perform best because they may be preadapted to the climate warming that has occurred.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Data Collection protocol developed and finalized</w:t>
            </w:r>
          </w:p>
        </w:tc>
        <w:tc>
          <w:tcPr>
            <w:tcW w:type="dxa" w:w="2160"/>
          </w:tcPr>
          <w:p>
            <w:pPr>
              <w:jc w:val="right"/>
            </w:pPr>
            <w:r>
              <w:rPr>
                <w:sz w:val="20"/>
              </w:rPr>
              <w:t>April 30, 2026</w:t>
            </w:r>
          </w:p>
        </w:tc>
      </w:tr>
      <w:tr>
        <w:tc>
          <w:tcPr>
            <w:tcW w:type="dxa" w:w="8640"/>
          </w:tcPr>
          <w:p>
            <w:r>
              <w:rPr>
                <w:sz w:val="20"/>
              </w:rPr>
              <w:t>Data Collection</w:t>
            </w:r>
          </w:p>
        </w:tc>
        <w:tc>
          <w:tcPr>
            <w:tcW w:type="dxa" w:w="2160"/>
          </w:tcPr>
          <w:p>
            <w:pPr>
              <w:jc w:val="right"/>
            </w:pPr>
            <w:r>
              <w:rPr>
                <w:sz w:val="20"/>
              </w:rPr>
              <w:t>September 30, 2026</w:t>
            </w:r>
          </w:p>
        </w:tc>
      </w:tr>
      <w:tr>
        <w:tc>
          <w:tcPr>
            <w:tcW w:type="dxa" w:w="8640"/>
          </w:tcPr>
          <w:p>
            <w:r>
              <w:rPr>
                <w:sz w:val="20"/>
              </w:rPr>
              <w:t>Data Summary, Analysis and Final Report</w:t>
            </w:r>
          </w:p>
        </w:tc>
        <w:tc>
          <w:tcPr>
            <w:tcW w:type="dxa" w:w="2160"/>
          </w:tcPr>
          <w:p>
            <w:pPr>
              <w:jc w:val="right"/>
            </w:pPr>
            <w:r>
              <w:rPr>
                <w:sz w:val="20"/>
              </w:rPr>
              <w:t>February 28, 2027</w:t>
            </w:r>
          </w:p>
        </w:tc>
      </w:tr>
    </w:tbl>
    <w:p/>
    <w:p>
      <w:pPr>
        <w:pStyle w:val="Heading3"/>
        <w:spacing w:after="60"/>
      </w:pPr>
      <w:r>
        <w:rPr>
          <w:b/>
          <w:color w:val="254885"/>
          <w:sz w:val="26"/>
        </w:rPr>
        <w:t>Activity 3: Enhancement of Existing Plantings</w:t>
      </w:r>
    </w:p>
    <w:p>
      <w:r>
        <w:rPr>
          <w:b/>
        </w:rPr>
        <w:t xml:space="preserve">Activity Budget: </w:t>
      </w:r>
      <w:r>
        <w:t>$39,200</w:t>
      </w:r>
    </w:p>
    <w:p>
      <w:r>
        <w:rPr>
          <w:b/>
        </w:rPr>
        <w:t xml:space="preserve">Activity Description: </w:t>
        <w:br/>
      </w:r>
      <w:r>
        <w:t xml:space="preserve">At each site, equal treatment to all plantings to increase success following typical restoration practices will be applied. </w:t>
        <w:br/>
        <w:br/>
        <w:t>Anticipated activities may include but are not limited to mulching, mowing, herbivore protection repair/replacement, planting woody nurse crop, and non-native invasive species control. Activites will be determined and planned in earlier activities, and implemented here.</w:t>
        <w:br/>
        <w:br/>
        <w:t>This work will be completed via subcontract(s) with service provider(s) chosen through RFP process and vendors, along with GRG crew and landowner in-kind assistance and coordination.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Implement Pre-Winter Enhancement Needs</w:t>
            </w:r>
          </w:p>
        </w:tc>
        <w:tc>
          <w:tcPr>
            <w:tcW w:type="dxa" w:w="2160"/>
          </w:tcPr>
          <w:p>
            <w:pPr>
              <w:jc w:val="right"/>
            </w:pPr>
            <w:r>
              <w:rPr>
                <w:sz w:val="20"/>
              </w:rPr>
              <w:t>October 31, 2025</w:t>
            </w:r>
          </w:p>
        </w:tc>
      </w:tr>
      <w:tr>
        <w:tc>
          <w:tcPr>
            <w:tcW w:type="dxa" w:w="8640"/>
          </w:tcPr>
          <w:p>
            <w:r>
              <w:rPr>
                <w:sz w:val="20"/>
              </w:rPr>
              <w:t>Implement Growing Season Enhancement Needs</w:t>
            </w:r>
          </w:p>
        </w:tc>
        <w:tc>
          <w:tcPr>
            <w:tcW w:type="dxa" w:w="2160"/>
          </w:tcPr>
          <w:p>
            <w:pPr>
              <w:jc w:val="right"/>
            </w:pPr>
            <w:r>
              <w:rPr>
                <w:sz w:val="20"/>
              </w:rPr>
              <w:t>October 31, 2027</w:t>
            </w:r>
          </w:p>
        </w:tc>
      </w:tr>
    </w:tbl>
    <w:p/>
    <w:p>
      <w:pPr>
        <w:pStyle w:val="Heading3"/>
        <w:spacing w:after="60"/>
      </w:pPr>
      <w:r>
        <w:rPr>
          <w:b/>
          <w:color w:val="254885"/>
          <w:sz w:val="26"/>
        </w:rPr>
        <w:t>Activity 4: Dissemination</w:t>
      </w:r>
    </w:p>
    <w:p>
      <w:r>
        <w:rPr>
          <w:b/>
        </w:rPr>
        <w:t xml:space="preserve">Activity Budget: </w:t>
      </w:r>
      <w:r>
        <w:t>$52,200</w:t>
      </w:r>
    </w:p>
    <w:p>
      <w:r>
        <w:rPr>
          <w:b/>
        </w:rPr>
        <w:t xml:space="preserve">Activity Description: </w:t>
        <w:br/>
      </w:r>
      <w:r>
        <w:t xml:space="preserve">U of MN and GRG will disseminate information about methods, objective, results and data analysis of this project. </w:t>
        <w:br/>
        <w:br/>
        <w:t xml:space="preserve">GRG will disseminate this information through our practitioner partnerships and membership: Anoka Sand Plain Partnership; Metro Big Rivers Partnership; Cannon River Watershed Habitat Restoration and Protection Partnership; Camp Ripley Sentinel Landscape Partnership; Sauk River Watershed Habitat Restoration and Protection Partnership, and; Metro Conservation Network. </w:t>
        <w:br/>
        <w:br/>
        <w:t>GRG will present at one (1) or more Minnesota-based workshops and/or conferences totaling 50 or more attendees, such as the Minnesota Shade Tree Short Course or equivalent, and present / discuss with five (5) or more Minnesota practitioner organizations, other Minnesota landowners, and/or government units. GRG will present and discuss results with the four (4) landowners.</w:t>
        <w:br/>
        <w:br/>
        <w:t>GRG will present at one (1) out-of-state regional conference that includes Minnesota representatives, such as the Midwest Society for Ecological Restoration annual conference, or equivalent.</w:t>
        <w:br/>
        <w:br/>
        <w:t>Dissemination by UMN: Results of the study will be presented by students at regional professional meetings, used in classroom teaching, submitted for publication in a peer-reviewed journal article, and discussed in varied news media outlets.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UMN Final Report</w:t>
            </w:r>
          </w:p>
        </w:tc>
        <w:tc>
          <w:tcPr>
            <w:tcW w:type="dxa" w:w="2160"/>
          </w:tcPr>
          <w:p>
            <w:pPr>
              <w:jc w:val="right"/>
            </w:pPr>
            <w:r>
              <w:rPr>
                <w:sz w:val="20"/>
              </w:rPr>
              <w:t>March 31, 2027</w:t>
            </w:r>
          </w:p>
        </w:tc>
      </w:tr>
      <w:tr>
        <w:tc>
          <w:tcPr>
            <w:tcW w:type="dxa" w:w="8640"/>
          </w:tcPr>
          <w:p>
            <w:r>
              <w:rPr>
                <w:sz w:val="20"/>
              </w:rPr>
              <w:t>Present at Academic Conference or equivalents</w:t>
            </w:r>
          </w:p>
        </w:tc>
        <w:tc>
          <w:tcPr>
            <w:tcW w:type="dxa" w:w="2160"/>
          </w:tcPr>
          <w:p>
            <w:pPr>
              <w:jc w:val="right"/>
            </w:pPr>
            <w:r>
              <w:rPr>
                <w:sz w:val="20"/>
              </w:rPr>
              <w:t>December 31, 2027</w:t>
            </w:r>
          </w:p>
        </w:tc>
      </w:tr>
      <w:tr>
        <w:tc>
          <w:tcPr>
            <w:tcW w:type="dxa" w:w="8640"/>
          </w:tcPr>
          <w:p>
            <w:r>
              <w:rPr>
                <w:sz w:val="20"/>
              </w:rPr>
              <w:t>Present at Minnesota Shade Tree Short Course or equivalent; share with practitioners via partnership meetings</w:t>
            </w:r>
          </w:p>
        </w:tc>
        <w:tc>
          <w:tcPr>
            <w:tcW w:type="dxa" w:w="2160"/>
          </w:tcPr>
          <w:p>
            <w:pPr>
              <w:jc w:val="right"/>
            </w:pPr>
            <w:r>
              <w:rPr>
                <w:sz w:val="20"/>
              </w:rPr>
              <w:t>November 30, 2028</w:t>
            </w:r>
          </w:p>
        </w:tc>
      </w:tr>
      <w:tr>
        <w:tc>
          <w:tcPr>
            <w:tcW w:type="dxa" w:w="8640"/>
          </w:tcPr>
          <w:p>
            <w:r>
              <w:rPr>
                <w:sz w:val="20"/>
              </w:rPr>
              <w:t>Present at Out-of-State SER Conference or Similar :GRG</w:t>
            </w:r>
          </w:p>
        </w:tc>
        <w:tc>
          <w:tcPr>
            <w:tcW w:type="dxa" w:w="2160"/>
          </w:tcPr>
          <w:p>
            <w:pPr>
              <w:jc w:val="right"/>
            </w:pPr>
            <w:r>
              <w:rPr>
                <w:sz w:val="20"/>
              </w:rPr>
              <w:t>November 30, 2028</w:t>
            </w:r>
          </w:p>
        </w:tc>
      </w:tr>
      <w:tr>
        <w:tc>
          <w:tcPr>
            <w:tcW w:type="dxa" w:w="8640"/>
          </w:tcPr>
          <w:p>
            <w:r>
              <w:rPr>
                <w:sz w:val="20"/>
              </w:rPr>
              <w:t>Develop and install interpretive panels on sites</w:t>
            </w:r>
          </w:p>
        </w:tc>
        <w:tc>
          <w:tcPr>
            <w:tcW w:type="dxa" w:w="2160"/>
          </w:tcPr>
          <w:p>
            <w:pPr>
              <w:jc w:val="right"/>
            </w:pPr>
            <w:r>
              <w:rPr>
                <w:sz w:val="20"/>
              </w:rPr>
              <w:t>November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Lee Frelich, Ph.D.</w:t>
            </w:r>
          </w:p>
        </w:tc>
        <w:tc>
          <w:tcPr>
            <w:tcW w:type="dxa" w:w="1440"/>
          </w:tcPr>
          <w:p>
            <w:r>
              <w:rPr>
                <w:sz w:val="20"/>
              </w:rPr>
              <w:t>Center for Forest Ecology, University of Minnesota</w:t>
            </w:r>
          </w:p>
        </w:tc>
        <w:tc>
          <w:tcPr>
            <w:tcW w:type="dxa" w:w="6840"/>
          </w:tcPr>
          <w:p>
            <w:r>
              <w:rPr>
                <w:sz w:val="20"/>
              </w:rPr>
              <w:t>Lead Researcher</w:t>
            </w:r>
          </w:p>
        </w:tc>
        <w:tc>
          <w:tcPr>
            <w:tcW w:type="dxa" w:w="1080"/>
          </w:tcPr>
          <w:p>
            <w:r>
              <w:rPr>
                <w:sz w:val="20"/>
              </w:rPr>
              <w:t>Yes</w:t>
            </w:r>
          </w:p>
        </w:tc>
      </w:tr>
      <w:tr>
        <w:tc>
          <w:tcPr>
            <w:tcW w:type="dxa" w:w="1440"/>
          </w:tcPr>
          <w:p>
            <w:r>
              <w:rPr>
                <w:sz w:val="20"/>
              </w:rPr>
              <w:t>Anthony Randazzo</w:t>
            </w:r>
          </w:p>
        </w:tc>
        <w:tc>
          <w:tcPr>
            <w:tcW w:type="dxa" w:w="1440"/>
          </w:tcPr>
          <w:p>
            <w:r>
              <w:rPr>
                <w:sz w:val="20"/>
              </w:rPr>
              <w:t>South Washington Watershed District</w:t>
            </w:r>
          </w:p>
        </w:tc>
        <w:tc>
          <w:tcPr>
            <w:tcW w:type="dxa" w:w="6840"/>
          </w:tcPr>
          <w:p>
            <w:r>
              <w:rPr>
                <w:sz w:val="20"/>
              </w:rPr>
              <w:t>Landowner</w:t>
            </w:r>
          </w:p>
        </w:tc>
        <w:tc>
          <w:tcPr>
            <w:tcW w:type="dxa" w:w="1080"/>
          </w:tcPr>
          <w:p>
            <w:r>
              <w:rPr>
                <w:sz w:val="20"/>
              </w:rPr>
              <w:t>No</w:t>
            </w:r>
          </w:p>
        </w:tc>
      </w:tr>
      <w:tr>
        <w:tc>
          <w:tcPr>
            <w:tcW w:type="dxa" w:w="1440"/>
          </w:tcPr>
          <w:p>
            <w:r>
              <w:rPr>
                <w:sz w:val="20"/>
              </w:rPr>
              <w:t>Carole Gernes</w:t>
            </w:r>
          </w:p>
        </w:tc>
        <w:tc>
          <w:tcPr>
            <w:tcW w:type="dxa" w:w="1440"/>
          </w:tcPr>
          <w:p>
            <w:r>
              <w:rPr>
                <w:sz w:val="20"/>
              </w:rPr>
              <w:t>City of Maplewood</w:t>
            </w:r>
          </w:p>
        </w:tc>
        <w:tc>
          <w:tcPr>
            <w:tcW w:type="dxa" w:w="6840"/>
          </w:tcPr>
          <w:p>
            <w:r>
              <w:rPr>
                <w:sz w:val="20"/>
              </w:rPr>
              <w:t>Landowner</w:t>
            </w:r>
          </w:p>
        </w:tc>
        <w:tc>
          <w:tcPr>
            <w:tcW w:type="dxa" w:w="1080"/>
          </w:tcPr>
          <w:p>
            <w:r>
              <w:rPr>
                <w:sz w:val="20"/>
              </w:rPr>
              <w:t>No</w:t>
            </w:r>
          </w:p>
        </w:tc>
      </w:tr>
      <w:tr>
        <w:tc>
          <w:tcPr>
            <w:tcW w:type="dxa" w:w="1440"/>
          </w:tcPr>
          <w:p>
            <w:r>
              <w:rPr>
                <w:sz w:val="20"/>
              </w:rPr>
              <w:t>Michael Goodnature</w:t>
            </w:r>
          </w:p>
        </w:tc>
        <w:tc>
          <w:tcPr>
            <w:tcW w:type="dxa" w:w="1440"/>
          </w:tcPr>
          <w:p>
            <w:r>
              <w:rPr>
                <w:sz w:val="20"/>
              </w:rPr>
              <w:t>Ramsey County Parks</w:t>
            </w:r>
          </w:p>
        </w:tc>
        <w:tc>
          <w:tcPr>
            <w:tcW w:type="dxa" w:w="6840"/>
          </w:tcPr>
          <w:p>
            <w:r>
              <w:rPr>
                <w:sz w:val="20"/>
              </w:rPr>
              <w:t>Landowner</w:t>
            </w:r>
          </w:p>
        </w:tc>
        <w:tc>
          <w:tcPr>
            <w:tcW w:type="dxa" w:w="1080"/>
          </w:tcPr>
          <w:p>
            <w:r>
              <w:rPr>
                <w:sz w:val="20"/>
              </w:rPr>
              <w:t>No</w:t>
            </w:r>
          </w:p>
        </w:tc>
      </w:tr>
      <w:tr>
        <w:tc>
          <w:tcPr>
            <w:tcW w:type="dxa" w:w="1440"/>
          </w:tcPr>
          <w:p>
            <w:r>
              <w:rPr>
                <w:sz w:val="20"/>
              </w:rPr>
              <w:t>Matt Fraley</w:t>
            </w:r>
          </w:p>
        </w:tc>
        <w:tc>
          <w:tcPr>
            <w:tcW w:type="dxa" w:w="1440"/>
          </w:tcPr>
          <w:p>
            <w:r>
              <w:rPr>
                <w:sz w:val="20"/>
              </w:rPr>
              <w:t>City of Lindstrom</w:t>
            </w:r>
          </w:p>
        </w:tc>
        <w:tc>
          <w:tcPr>
            <w:tcW w:type="dxa" w:w="6840"/>
          </w:tcPr>
          <w:p>
            <w:r>
              <w:rPr>
                <w:sz w:val="20"/>
              </w:rPr>
              <w:t>Landowner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U of MN and GRG will disseminate information about methods, objective, results and data analysis of this project. Acknowledgement of Environment and Natural Resources Trust Fund support will follow the Acknowledgement requirements as posted on the web page, for all dissemination activities including poster presentations, power point presentations, and interpretive panels, most likely through the inclusion of the Trust Fund logo, at a minimum.</w:t>
        <w:br/>
        <w:br/>
        <w:t xml:space="preserve">GRG will disseminate this information through our practitioner partnerships and membership: Anoka Sand Plain Partnership; Metro Big Rivers Partnership; Cannon River Watershed Habitat Restoration and Protection Partnership; Camp Ripley Sentinel Landscape Partnership; Sauk River Watershed Habitat Restoration and Protection Partnership, and; Metro Conservation Network. </w:t>
        <w:br/>
        <w:br/>
        <w:t xml:space="preserve">GRG will present at one (1) or more Minnesota-based workshops and/or conferences totaling 50 or more attendees, such as the Minnesota Shade Tree Short Course or equivalent, and present / discuss with five (5) or more Minnesota practitioner organizations, other Minnesota landowners, and/or government units. GRG will present and discuss results with the four (4) landowners. Interpretive panels will be developed and installed at each site. </w:t>
        <w:br/>
        <w:br/>
        <w:t>GRG will present at one (1) out-of-state regional conference that includes Minnesota representatives, such as the Midwest Society for Ecological Restoration annual conference, or equivalent.</w:t>
        <w:br/>
        <w:br/>
        <w:t>Dissemination by UMN: Results of the study will be presented by students at regional professional meetings, used in classroom teaching, submitted for publication in a peer-reviewed journal article, and discussed in varied news media outlets.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Dissemination of this round of data, along with initial growth and survival data from ML2015, will be completed to add to the knowledge base of bur oak planting. Ongoing efforts for valuable future data collection are planned, with funding to be determined, but may include re-approaching LCCMR in the future.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Pollinator Central: Habitat Improvement with Citizen Monitoring</w:t>
            </w:r>
          </w:p>
        </w:tc>
        <w:tc>
          <w:tcPr>
            <w:tcW w:type="dxa" w:w="4680"/>
          </w:tcPr>
          <w:p>
            <w:r>
              <w:rPr>
                <w:sz w:val="20"/>
              </w:rPr>
              <w:t>M.L. 2021, First Special Session, Chp. 6, Art. 5, Sec. 2, Subd. 08a</w:t>
            </w:r>
          </w:p>
        </w:tc>
        <w:tc>
          <w:tcPr>
            <w:tcW w:type="dxa" w:w="1440"/>
          </w:tcPr>
          <w:p>
            <w:pPr>
              <w:jc w:val="right"/>
            </w:pPr>
            <w:r>
              <w:rPr>
                <w:sz w:val="20"/>
              </w:rPr>
              <w:t>$750,000</w:t>
            </w:r>
          </w:p>
        </w:tc>
      </w:tr>
      <w:tr>
        <w:tc>
          <w:tcPr>
            <w:tcW w:type="dxa" w:w="4680"/>
          </w:tcPr>
          <w:p>
            <w:r>
              <w:rPr>
                <w:sz w:val="20"/>
              </w:rPr>
              <w:t>Camp Ripley Sentinel Landscape Forest Restoration And Enhancements</w:t>
            </w:r>
          </w:p>
        </w:tc>
        <w:tc>
          <w:tcPr>
            <w:tcW w:type="dxa" w:w="4680"/>
          </w:tcPr>
          <w:p>
            <w:r>
              <w:rPr>
                <w:sz w:val="20"/>
              </w:rPr>
              <w:t>M.L. 2021, First Special Session, Chp. 6, Art. 6, Sec. 2, Subd. 08a</w:t>
            </w:r>
          </w:p>
        </w:tc>
        <w:tc>
          <w:tcPr>
            <w:tcW w:type="dxa" w:w="1440"/>
          </w:tcPr>
          <w:p>
            <w:pPr>
              <w:jc w:val="right"/>
            </w:pPr>
            <w:r>
              <w:rPr>
                <w:sz w:val="20"/>
              </w:rPr>
              <w:t>$731,000</w:t>
            </w:r>
          </w:p>
        </w:tc>
      </w:tr>
      <w:tr>
        <w:tc>
          <w:tcPr>
            <w:tcW w:type="dxa" w:w="4680"/>
          </w:tcPr>
          <w:p>
            <w:r>
              <w:rPr>
                <w:sz w:val="20"/>
              </w:rPr>
              <w:t>Pollinator Central II: Habitat Improvement With Community Monitoring</w:t>
            </w:r>
          </w:p>
        </w:tc>
        <w:tc>
          <w:tcPr>
            <w:tcW w:type="dxa" w:w="4680"/>
          </w:tcPr>
          <w:p>
            <w:r>
              <w:rPr>
                <w:sz w:val="20"/>
              </w:rPr>
              <w:t>M.L. 2021, First Special Session, Chp. 6, Art. 6, Sec. 2, Subd. 08c</w:t>
            </w:r>
          </w:p>
        </w:tc>
        <w:tc>
          <w:tcPr>
            <w:tcW w:type="dxa" w:w="1440"/>
          </w:tcPr>
          <w:p>
            <w:pPr>
              <w:jc w:val="right"/>
            </w:pPr>
            <w:r>
              <w:rPr>
                <w:sz w:val="20"/>
              </w:rPr>
              <w:t>$631,000</w:t>
            </w:r>
          </w:p>
        </w:tc>
      </w:tr>
      <w:tr>
        <w:tc>
          <w:tcPr>
            <w:tcW w:type="dxa" w:w="4680"/>
          </w:tcPr>
          <w:p>
            <w:r>
              <w:rPr>
                <w:sz w:val="20"/>
              </w:rPr>
              <w:t>Engaging a Diverse Public in Environmental Stewardship</w:t>
            </w:r>
          </w:p>
        </w:tc>
        <w:tc>
          <w:tcPr>
            <w:tcW w:type="dxa" w:w="4680"/>
          </w:tcPr>
          <w:p>
            <w:r>
              <w:rPr>
                <w:sz w:val="20"/>
              </w:rPr>
              <w:t>M.L. 2022, , Chp. 94, Art. , Sec. 2, Subd. 05d</w:t>
            </w:r>
          </w:p>
        </w:tc>
        <w:tc>
          <w:tcPr>
            <w:tcW w:type="dxa" w:w="1440"/>
          </w:tcPr>
          <w:p>
            <w:pPr>
              <w:jc w:val="right"/>
            </w:pPr>
            <w:r>
              <w:rPr>
                <w:sz w:val="20"/>
              </w:rPr>
              <w:t>$300,000</w:t>
            </w:r>
          </w:p>
        </w:tc>
      </w:tr>
      <w:tr>
        <w:tc>
          <w:tcPr>
            <w:tcW w:type="dxa" w:w="4680"/>
          </w:tcPr>
          <w:p>
            <w:r>
              <w:rPr>
                <w:sz w:val="20"/>
              </w:rPr>
              <w:t>Biochar Implementation in Habitat Restoration: A Pilot</w:t>
            </w:r>
          </w:p>
        </w:tc>
        <w:tc>
          <w:tcPr>
            <w:tcW w:type="dxa" w:w="4680"/>
          </w:tcPr>
          <w:p>
            <w:r>
              <w:rPr>
                <w:sz w:val="20"/>
              </w:rPr>
              <w:t>M.L. 2023, , Chp. 60, Art. 2, Sec. 2, Subd. 07b</w:t>
            </w:r>
          </w:p>
        </w:tc>
        <w:tc>
          <w:tcPr>
            <w:tcW w:type="dxa" w:w="1440"/>
          </w:tcPr>
          <w:p>
            <w:pPr>
              <w:jc w:val="right"/>
            </w:pPr>
            <w:r>
              <w:rPr>
                <w:sz w:val="20"/>
              </w:rPr>
              <w:t>$185,000</w:t>
            </w:r>
          </w:p>
        </w:tc>
      </w:tr>
      <w:tr>
        <w:tc>
          <w:tcPr>
            <w:tcW w:type="dxa" w:w="4680"/>
          </w:tcPr>
          <w:p>
            <w:r>
              <w:rPr>
                <w:sz w:val="20"/>
              </w:rPr>
              <w:t>Pollinator Central III: Habitat Improvement with Community Monitoring</w:t>
            </w:r>
          </w:p>
        </w:tc>
        <w:tc>
          <w:tcPr>
            <w:tcW w:type="dxa" w:w="4680"/>
          </w:tcPr>
          <w:p>
            <w:r>
              <w:rPr>
                <w:sz w:val="20"/>
              </w:rPr>
              <w:t>M.L. 2023, , Chp. 60, Art. 2, Sec. 2, Subd. 08g</w:t>
            </w:r>
          </w:p>
        </w:tc>
        <w:tc>
          <w:tcPr>
            <w:tcW w:type="dxa" w:w="1440"/>
          </w:tcPr>
          <w:p>
            <w:pPr>
              <w:jc w:val="right"/>
            </w:pPr>
            <w:r>
              <w:rPr>
                <w:sz w:val="20"/>
              </w:rPr>
              <w:t>$190,000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 Manager</w:t>
            </w:r>
          </w:p>
        </w:tc>
        <w:tc>
          <w:tcPr>
            <w:tcW w:type="dxa" w:w="1440"/>
          </w:tcPr>
          <w:p>
            <w:r>
              <w:rPr>
                <w:sz w:val="20"/>
              </w:rPr>
            </w:r>
          </w:p>
        </w:tc>
        <w:tc>
          <w:tcPr>
            <w:tcW w:type="dxa" w:w="5472"/>
          </w:tcPr>
          <w:p>
            <w:r>
              <w:rPr>
                <w:sz w:val="20"/>
              </w:rPr>
              <w:t>Grant Management, Project Management, Professional Services Contract Management, Dissemination</w:t>
            </w:r>
          </w:p>
        </w:tc>
        <w:tc>
          <w:tcPr>
            <w:tcW w:type="dxa" w:w="4032"/>
          </w:tcPr>
          <w:p>
            <w:r>
              <w:rPr>
                <w:sz w:val="20"/>
              </w:rPr>
            </w:r>
          </w:p>
        </w:tc>
        <w:tc>
          <w:tcPr>
            <w:tcW w:type="dxa" w:w="360"/>
          </w:tcPr>
          <w:p>
            <w:r>
              <w:rPr>
                <w:sz w:val="20"/>
              </w:rPr>
            </w:r>
          </w:p>
        </w:tc>
        <w:tc>
          <w:tcPr>
            <w:tcW w:type="dxa" w:w="360"/>
          </w:tcPr>
          <w:p>
            <w:pPr>
              <w:jc w:val="right"/>
            </w:pPr>
            <w:r>
              <w:rPr>
                <w:sz w:val="20"/>
              </w:rPr>
              <w:t>21.83%</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$15,000</w:t>
            </w:r>
          </w:p>
        </w:tc>
      </w:tr>
      <w:tr>
        <w:tc>
          <w:tcPr>
            <w:tcW w:type="dxa" w:w="864"/>
          </w:tcPr>
          <w:p>
            <w:r>
              <w:rPr>
                <w:sz w:val="20"/>
              </w:rPr>
              <w:t>Grant Administration</w:t>
            </w:r>
          </w:p>
        </w:tc>
        <w:tc>
          <w:tcPr>
            <w:tcW w:type="dxa" w:w="1440"/>
          </w:tcPr>
          <w:p>
            <w:r>
              <w:rPr>
                <w:sz w:val="20"/>
              </w:rPr>
            </w:r>
          </w:p>
        </w:tc>
        <w:tc>
          <w:tcPr>
            <w:tcW w:type="dxa" w:w="5472"/>
          </w:tcPr>
          <w:p>
            <w:r>
              <w:rPr>
                <w:sz w:val="20"/>
              </w:rPr>
              <w:t>Budgets, Invoicing, Filing, Reports/Amendments</w:t>
            </w:r>
          </w:p>
        </w:tc>
        <w:tc>
          <w:tcPr>
            <w:tcW w:type="dxa" w:w="4032"/>
          </w:tcPr>
          <w:p>
            <w:r>
              <w:rPr>
                <w:sz w:val="20"/>
              </w:rPr>
            </w:r>
          </w:p>
        </w:tc>
        <w:tc>
          <w:tcPr>
            <w:tcW w:type="dxa" w:w="360"/>
          </w:tcPr>
          <w:p>
            <w:r>
              <w:rPr>
                <w:sz w:val="20"/>
              </w:rPr>
            </w:r>
          </w:p>
        </w:tc>
        <w:tc>
          <w:tcPr>
            <w:tcW w:type="dxa" w:w="360"/>
          </w:tcPr>
          <w:p>
            <w:pPr>
              <w:jc w:val="right"/>
            </w:pPr>
            <w:r>
              <w:rPr>
                <w:sz w:val="20"/>
              </w:rPr>
              <w:t>21.83%</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$10,100</w:t>
            </w:r>
          </w:p>
        </w:tc>
      </w:tr>
      <w:tr>
        <w:tc>
          <w:tcPr>
            <w:tcW w:type="dxa" w:w="864"/>
          </w:tcPr>
          <w:p>
            <w:r>
              <w:rPr>
                <w:sz w:val="20"/>
              </w:rPr>
              <w:t>Program Manager</w:t>
            </w:r>
          </w:p>
        </w:tc>
        <w:tc>
          <w:tcPr>
            <w:tcW w:type="dxa" w:w="1440"/>
          </w:tcPr>
          <w:p>
            <w:r>
              <w:rPr>
                <w:sz w:val="20"/>
              </w:rPr>
            </w:r>
          </w:p>
        </w:tc>
        <w:tc>
          <w:tcPr>
            <w:tcW w:type="dxa" w:w="5472"/>
          </w:tcPr>
          <w:p>
            <w:r>
              <w:rPr>
                <w:sz w:val="20"/>
              </w:rPr>
              <w:t>Peer Review</w:t>
            </w:r>
          </w:p>
        </w:tc>
        <w:tc>
          <w:tcPr>
            <w:tcW w:type="dxa" w:w="4032"/>
          </w:tcPr>
          <w:p>
            <w:r>
              <w:rPr>
                <w:sz w:val="20"/>
              </w:rPr>
            </w:r>
          </w:p>
        </w:tc>
        <w:tc>
          <w:tcPr>
            <w:tcW w:type="dxa" w:w="360"/>
          </w:tcPr>
          <w:p>
            <w:r>
              <w:rPr>
                <w:sz w:val="20"/>
              </w:rPr>
            </w:r>
          </w:p>
        </w:tc>
        <w:tc>
          <w:tcPr>
            <w:tcW w:type="dxa" w:w="360"/>
          </w:tcPr>
          <w:p>
            <w:pPr>
              <w:jc w:val="right"/>
            </w:pPr>
            <w:r>
              <w:rPr>
                <w:sz w:val="20"/>
              </w:rPr>
              <w:t>21.83%</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$3,000</w:t>
            </w:r>
          </w:p>
        </w:tc>
      </w:tr>
      <w:tr>
        <w:tc>
          <w:tcPr>
            <w:tcW w:type="dxa" w:w="864"/>
          </w:tcPr>
          <w:p>
            <w:r>
              <w:rPr>
                <w:sz w:val="20"/>
              </w:rPr>
              <w:t>Project Manager Ecologist</w:t>
            </w:r>
          </w:p>
        </w:tc>
        <w:tc>
          <w:tcPr>
            <w:tcW w:type="dxa" w:w="1440"/>
          </w:tcPr>
          <w:p>
            <w:r>
              <w:rPr>
                <w:sz w:val="20"/>
              </w:rPr>
            </w:r>
          </w:p>
        </w:tc>
        <w:tc>
          <w:tcPr>
            <w:tcW w:type="dxa" w:w="5472"/>
          </w:tcPr>
          <w:p>
            <w:r>
              <w:rPr>
                <w:sz w:val="20"/>
              </w:rPr>
              <w:t>Surveys, Planning, Monitoring, Contract Management, Dissemination</w:t>
            </w:r>
          </w:p>
        </w:tc>
        <w:tc>
          <w:tcPr>
            <w:tcW w:type="dxa" w:w="4032"/>
          </w:tcPr>
          <w:p>
            <w:r>
              <w:rPr>
                <w:sz w:val="20"/>
              </w:rPr>
            </w:r>
          </w:p>
        </w:tc>
        <w:tc>
          <w:tcPr>
            <w:tcW w:type="dxa" w:w="360"/>
          </w:tcPr>
          <w:p>
            <w:r>
              <w:rPr>
                <w:sz w:val="20"/>
              </w:rPr>
            </w:r>
          </w:p>
        </w:tc>
        <w:tc>
          <w:tcPr>
            <w:tcW w:type="dxa" w:w="360"/>
          </w:tcPr>
          <w:p>
            <w:pPr>
              <w:jc w:val="right"/>
            </w:pPr>
            <w:r>
              <w:rPr>
                <w:sz w:val="20"/>
              </w:rPr>
              <w:t>21.83%</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$9,000</w:t>
            </w:r>
          </w:p>
        </w:tc>
      </w:tr>
      <w:tr>
        <w:tc>
          <w:tcPr>
            <w:tcW w:type="dxa" w:w="864"/>
          </w:tcPr>
          <w:p>
            <w:r>
              <w:rPr>
                <w:sz w:val="20"/>
              </w:rPr>
              <w:t>Field Crew</w:t>
            </w:r>
          </w:p>
        </w:tc>
        <w:tc>
          <w:tcPr>
            <w:tcW w:type="dxa" w:w="1440"/>
          </w:tcPr>
          <w:p>
            <w:r>
              <w:rPr>
                <w:sz w:val="20"/>
              </w:rPr>
            </w:r>
          </w:p>
        </w:tc>
        <w:tc>
          <w:tcPr>
            <w:tcW w:type="dxa" w:w="5472"/>
          </w:tcPr>
          <w:p>
            <w:r>
              <w:rPr>
                <w:sz w:val="20"/>
              </w:rPr>
              <w:t>Field Implementation of Enhancements</w:t>
            </w:r>
          </w:p>
        </w:tc>
        <w:tc>
          <w:tcPr>
            <w:tcW w:type="dxa" w:w="4032"/>
          </w:tcPr>
          <w:p>
            <w:r>
              <w:rPr>
                <w:sz w:val="20"/>
              </w:rPr>
            </w:r>
          </w:p>
        </w:tc>
        <w:tc>
          <w:tcPr>
            <w:tcW w:type="dxa" w:w="360"/>
          </w:tcPr>
          <w:p>
            <w:r>
              <w:rPr>
                <w:sz w:val="20"/>
              </w:rPr>
            </w:r>
          </w:p>
        </w:tc>
        <w:tc>
          <w:tcPr>
            <w:tcW w:type="dxa" w:w="360"/>
          </w:tcPr>
          <w:p>
            <w:pPr>
              <w:jc w:val="right"/>
            </w:pPr>
            <w:r>
              <w:rPr>
                <w:sz w:val="20"/>
              </w:rPr>
              <w:t>21.83%</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$67,100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Subaward</w:t>
            </w:r>
          </w:p>
        </w:tc>
        <w:tc>
          <w:tcPr>
            <w:tcW w:type="dxa" w:w="5472"/>
          </w:tcPr>
          <w:p>
            <w:r>
              <w:rPr>
                <w:sz w:val="20"/>
              </w:rPr>
              <w:t>Data Collection, Data Analysis, Reporting, Research Design, Dissemination of Results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$105,000</w:t>
            </w:r>
          </w:p>
        </w:tc>
      </w:tr>
      <w:tr>
        <w:tc>
          <w:tcPr>
            <w:tcW w:type="dxa" w:w="864"/>
          </w:tcPr>
          <w:p>
            <w:r>
              <w:rPr>
                <w:sz w:val="20"/>
              </w:rPr>
              <w:t>TBD</w:t>
            </w:r>
          </w:p>
        </w:tc>
        <w:tc>
          <w:tcPr>
            <w:tcW w:type="dxa" w:w="1440"/>
          </w:tcPr>
          <w:p>
            <w:r>
              <w:rPr>
                <w:sz w:val="20"/>
              </w:rPr>
              <w:t>Service Contract</w:t>
            </w:r>
          </w:p>
        </w:tc>
        <w:tc>
          <w:tcPr>
            <w:tcW w:type="dxa" w:w="5472"/>
          </w:tcPr>
          <w:p>
            <w:r>
              <w:rPr>
                <w:sz w:val="20"/>
              </w:rPr>
              <w:t>Interpretive Panel Design, Fabrication and Installation; Mulching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$44,000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Plants, Mulch, Fencing, Herbicide, Equipment Fuel, Hand Tools</w:t>
            </w:r>
          </w:p>
        </w:tc>
        <w:tc>
          <w:tcPr>
            <w:tcW w:type="dxa" w:w="4032"/>
          </w:tcPr>
          <w:p>
            <w:r>
              <w:rPr>
                <w:sz w:val="20"/>
              </w:rPr>
              <w:t>Enhancement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80 trips at 30mi each on average; including 16 eligible for meal reimbursement</w:t>
            </w:r>
          </w:p>
        </w:tc>
        <w:tc>
          <w:tcPr>
            <w:tcW w:type="dxa" w:w="4032"/>
          </w:tcPr>
          <w:p>
            <w:r>
              <w:rPr>
                <w:sz w:val="20"/>
              </w:rPr>
              <w:t>Site Visits, Meetings, Procurement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presentation at Society for Ecological Restoration (SER) Midwest Chapter, or equivalent</w:t>
            </w:r>
          </w:p>
        </w:tc>
        <w:tc>
          <w:tcPr>
            <w:tcW w:type="dxa" w:w="4032"/>
          </w:tcPr>
          <w:p>
            <w:r>
              <w:rPr>
                <w:sz w:val="20"/>
              </w:rPr>
              <w:t>Presentation. Dissemination of Results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Posters, Handouts</w:t>
            </w:r>
          </w:p>
        </w:tc>
        <w:tc>
          <w:tcPr>
            <w:tcW w:type="dxa" w:w="4032"/>
          </w:tcPr>
          <w:p>
            <w:r>
              <w:rPr>
                <w:sz w:val="20"/>
              </w:rPr>
              <w:t>Conference and Workshop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University of Minnesota</w:t>
            </w:r>
          </w:p>
        </w:tc>
        <w:tc>
          <w:tcPr>
            <w:tcW w:type="dxa" w:w="1800"/>
          </w:tcPr>
          <w:p>
            <w:r>
              <w:rPr>
                <w:sz w:val="20"/>
              </w:rPr>
              <w:t>Subaward</w:t>
            </w:r>
          </w:p>
        </w:tc>
        <w:tc>
          <w:tcPr>
            <w:tcW w:type="dxa" w:w="3240"/>
          </w:tcPr>
          <w:p>
            <w:r>
              <w:rPr>
                <w:sz w:val="20"/>
              </w:rPr>
              <w:t>Data Collection, Data Analysis, Reporting, Research Design, Dissemination of Results</w:t>
            </w:r>
          </w:p>
        </w:tc>
        <w:tc>
          <w:tcPr>
            <w:tcW w:type="dxa" w:w="7560"/>
          </w:tcPr>
          <w:p>
            <w:r>
              <w:rPr>
                <w:sz w:val="20"/>
              </w:rPr>
              <w:t>Up to $3,000 for out-of-state travel for Lead Researcher and/or student(s) presenting at regional conference(s)</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One presentation at Society for Ecological Restoration (SER) Midwest Chapter, or equivalent</w:t>
            </w:r>
          </w:p>
        </w:tc>
        <w:tc>
          <w:tcPr>
            <w:tcW w:type="dxa" w:w="7560"/>
          </w:tcPr>
          <w:p>
            <w:r>
              <w:rPr>
                <w:sz w:val="20"/>
              </w:rPr>
              <w:t>Premier regional conference, including Minnesota chapter</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Landowner In-Kind</w:t>
            </w:r>
          </w:p>
        </w:tc>
        <w:tc>
          <w:tcPr>
            <w:tcW w:type="dxa" w:w="6120"/>
          </w:tcPr>
          <w:p>
            <w:r>
              <w:rPr>
                <w:sz w:val="20"/>
              </w:rPr>
              <w:t>Assist with Enhancement and Data Collection</w:t>
            </w:r>
          </w:p>
        </w:tc>
        <w:tc>
          <w:tcPr>
            <w:tcW w:type="dxa" w:w="1080"/>
          </w:tcPr>
          <w:p>
            <w:r>
              <w:rPr>
                <w:sz w:val="20"/>
              </w:rPr>
              <w:t>Potential</w:t>
            </w:r>
          </w:p>
        </w:tc>
        <w:tc>
          <w:tcPr>
            <w:tcW w:type="dxa" w:w="1440"/>
          </w:tcPr>
          <w:p>
            <w:pPr>
              <w:jc w:val="right"/>
            </w:pPr>
            <w:r>
              <w:rPr>
                <w:sz w:val="20"/>
              </w:rPr>
              <w:t>$2,000</w:t>
            </w:r>
          </w:p>
        </w:tc>
      </w:tr>
      <w:tr>
        <w:tc>
          <w:tcPr>
            <w:tcW w:type="dxa" w:w="1080"/>
          </w:tcPr>
          <w:p>
            <w:r>
              <w:rPr>
                <w:sz w:val="20"/>
              </w:rPr>
              <w:t>Cash</w:t>
            </w:r>
          </w:p>
        </w:tc>
        <w:tc>
          <w:tcPr>
            <w:tcW w:type="dxa" w:w="4680"/>
          </w:tcPr>
          <w:p>
            <w:r>
              <w:rPr>
                <w:sz w:val="20"/>
              </w:rPr>
              <w:t>Great River Greening</w:t>
            </w:r>
          </w:p>
        </w:tc>
        <w:tc>
          <w:tcPr>
            <w:tcW w:type="dxa" w:w="6120"/>
          </w:tcPr>
          <w:p>
            <w:r>
              <w:rPr>
                <w:sz w:val="20"/>
              </w:rPr>
              <w:t>GRG direct expenses required to do the work for this grant</w:t>
            </w:r>
          </w:p>
        </w:tc>
        <w:tc>
          <w:tcPr>
            <w:tcW w:type="dxa" w:w="1080"/>
          </w:tcPr>
          <w:p>
            <w:r>
              <w:rPr>
                <w:sz w:val="20"/>
              </w:rPr>
              <w:t>Pending</w:t>
            </w:r>
          </w:p>
        </w:tc>
        <w:tc>
          <w:tcPr>
            <w:tcW w:type="dxa" w:w="1440"/>
          </w:tcPr>
          <w:p>
            <w:pPr>
              <w:jc w:val="right"/>
            </w:pPr>
            <w:r>
              <w:rPr>
                <w:sz w:val="20"/>
              </w:rPr>
              <w:t>$15,000</w:t>
            </w:r>
          </w:p>
        </w:tc>
      </w:tr>
      <w:tr>
        <w:tc>
          <w:tcPr>
            <w:tcW w:type="dxa" w:w="1080"/>
          </w:tcPr>
          <w:p>
            <w:r>
              <w:rPr>
                <w:sz w:val="20"/>
              </w:rPr>
              <w:t>In-Kind</w:t>
            </w:r>
          </w:p>
        </w:tc>
        <w:tc>
          <w:tcPr>
            <w:tcW w:type="dxa" w:w="4680"/>
          </w:tcPr>
          <w:p>
            <w:r>
              <w:rPr>
                <w:sz w:val="20"/>
              </w:rPr>
              <w:t>Great River Greening</w:t>
            </w:r>
          </w:p>
        </w:tc>
        <w:tc>
          <w:tcPr>
            <w:tcW w:type="dxa" w:w="6120"/>
          </w:tcPr>
          <w:p>
            <w:r>
              <w:rPr>
                <w:sz w:val="20"/>
              </w:rPr>
              <w:t>GRG staff indirect administrative expenses required to do the work for this grant</w:t>
            </w:r>
          </w:p>
        </w:tc>
        <w:tc>
          <w:tcPr>
            <w:tcW w:type="dxa" w:w="1080"/>
          </w:tcPr>
          <w:p>
            <w:r>
              <w:rPr>
                <w:sz w:val="20"/>
              </w:rPr>
              <w:t>Secured</w:t>
            </w:r>
          </w:p>
        </w:tc>
        <w:tc>
          <w:tcPr>
            <w:tcW w:type="dxa" w:w="1440"/>
          </w:tcPr>
          <w:p>
            <w:pPr>
              <w:jc w:val="right"/>
            </w:pPr>
            <w:r>
              <w:rPr>
                <w:sz w:val="20"/>
              </w:rPr>
              <w:t>$1,300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$18,300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$18,300</w:t>
            </w:r>
          </w:p>
        </w:tc>
      </w:tr>
    </w:tbl>
    <w:p/>
    <w:p>
      <w:r>
        <w:rPr>
          <w:b/>
        </w:rPr>
        <w:t>Total Project Cost: $241,300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0c9fa204-9de.pdf</w:t>
          </w:r>
        </w:hyperlink>
      </w:r>
    </w:p>
    <w:p>
      <w:pPr>
        <w:pStyle w:val="Heading4"/>
        <w:spacing w:before="40" w:after="20"/>
      </w:pPr>
      <w:r>
        <w:rPr>
          <w:b/>
          <w:i/>
          <w:color w:val="000000"/>
          <w:sz w:val="24"/>
        </w:rPr>
        <w:t>Alternate Text for Visual Component</w:t>
      </w:r>
    </w:p>
    <w:p>
      <w:r>
        <w:t>Summary of proposal in words and pictures, including a county overlay map showing planting sites, a regional map showing seed sources, and three photos of planting activities from original planting and data collection through ML2015, all including volunteers....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990 Great River Greening (Full Version)</w:t>
            </w:r>
          </w:p>
        </w:tc>
        <w:tc>
          <w:tcPr>
            <w:tcW w:type="dxa" w:w="5400"/>
          </w:tcPr>
          <w:p>
            <w:r>
              <w:rPr>
                <w:sz w:val="20"/>
              </w:rPr>
            </w:r>
            <w:r>
              <w:rPr>
                <w:color w:val="000000" w:themeColor="hyperlink"/>
                <w:sz w:val="20"/>
                <w:u w:val="single"/>
              </w:rPr>
              <w:hyperlink r:id="rId13">
                <w:r>
                  <w:rPr/>
                  <w:t>007a7fc2-71d.pdf</w:t>
                </w:r>
              </w:hyperlink>
            </w:r>
          </w:p>
        </w:tc>
      </w:tr>
      <w:tr>
        <w:tc>
          <w:tcPr>
            <w:tcW w:type="dxa" w:w="5400"/>
          </w:tcPr>
          <w:p>
            <w:r>
              <w:rPr>
                <w:sz w:val="20"/>
              </w:rPr>
              <w:t>Good Standing SOS</w:t>
            </w:r>
          </w:p>
        </w:tc>
        <w:tc>
          <w:tcPr>
            <w:tcW w:type="dxa" w:w="5400"/>
          </w:tcPr>
          <w:p>
            <w:r>
              <w:rPr>
                <w:sz w:val="20"/>
              </w:rPr>
            </w:r>
            <w:r>
              <w:rPr>
                <w:color w:val="000000" w:themeColor="hyperlink"/>
                <w:sz w:val="20"/>
                <w:u w:val="single"/>
              </w:rPr>
              <w:hyperlink r:id="rId14">
                <w:r>
                  <w:rPr/>
                  <w:t>a1719efb-fb8.pdf</w:t>
                </w:r>
              </w:hyperlink>
            </w:r>
          </w:p>
        </w:tc>
      </w:tr>
      <w:tr>
        <w:tc>
          <w:tcPr>
            <w:tcW w:type="dxa" w:w="5400"/>
          </w:tcPr>
          <w:p>
            <w:r>
              <w:rPr>
                <w:sz w:val="20"/>
              </w:rPr>
              <w:t>GRG Financial Audit</w:t>
            </w:r>
          </w:p>
        </w:tc>
        <w:tc>
          <w:tcPr>
            <w:tcW w:type="dxa" w:w="5400"/>
          </w:tcPr>
          <w:p>
            <w:r>
              <w:rPr>
                <w:sz w:val="20"/>
              </w:rPr>
            </w:r>
            <w:r>
              <w:rPr>
                <w:color w:val="000000" w:themeColor="hyperlink"/>
                <w:sz w:val="20"/>
                <w:u w:val="single"/>
              </w:rPr>
              <w:hyperlink r:id="rId15">
                <w:r>
                  <w:rPr/>
                  <w:t>3227bf99-3ba.pdf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 2025-097</w:t>
            </w:r>
          </w:p>
        </w:tc>
        <w:tc>
          <w:tcPr>
            <w:tcW w:type="dxa" w:w="5400"/>
          </w:tcPr>
          <w:p>
            <w:r>
              <w:rPr>
                <w:sz w:val="20"/>
              </w:rPr>
            </w:r>
            <w:r>
              <w:rPr>
                <w:color w:val="000000" w:themeColor="hyperlink"/>
                <w:sz w:val="20"/>
                <w:u w:val="single"/>
              </w:rPr>
              <w:hyperlink r:id="rId16">
                <w:r>
                  <w:rPr/>
                  <w:t>e313d41e-f34.pdf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The Nature Conservancy</w:t>
            </w:r>
          </w:p>
        </w:tc>
        <w:tc>
          <w:tcPr>
            <w:tcW w:type="dxa" w:w="5400"/>
          </w:tcPr>
          <w:p>
            <w:r>
              <w:rPr>
                <w:sz w:val="20"/>
              </w:rPr>
            </w:r>
            <w:r>
              <w:rPr>
                <w:color w:val="000000" w:themeColor="hyperlink"/>
                <w:sz w:val="20"/>
                <w:u w:val="single"/>
              </w:rPr>
              <w:hyperlink r:id="rId17">
                <w:r>
                  <w:rPr/>
                  <w:t>d84ff476-be7.pdf</w:t>
                </w:r>
              </w:hyperlink>
            </w:r>
          </w:p>
        </w:tc>
      </w:tr>
      <w:tr>
        <w:tc>
          <w:tcPr>
            <w:tcW w:type="dxa" w:w="5400"/>
          </w:tcPr>
          <w:p>
            <w:r>
              <w:rPr>
                <w:sz w:val="20"/>
              </w:rPr>
              <w:t>Letter of Support - Mississippi Park Connection</w:t>
            </w:r>
          </w:p>
        </w:tc>
        <w:tc>
          <w:tcPr>
            <w:tcW w:type="dxa" w:w="5400"/>
          </w:tcPr>
          <w:p>
            <w:r>
              <w:rPr>
                <w:sz w:val="20"/>
              </w:rPr>
            </w:r>
            <w:r>
              <w:rPr>
                <w:color w:val="000000" w:themeColor="hyperlink"/>
                <w:sz w:val="20"/>
                <w:u w:val="single"/>
              </w:rPr>
              <w:hyperlink r:id="rId18">
                <w:r>
                  <w:rPr/>
                  <w:t>58e1902b-968.pdf</w:t>
                </w:r>
              </w:hyperlink>
            </w:r>
          </w:p>
        </w:tc>
      </w:tr>
      <w:tr>
        <w:tc>
          <w:tcPr>
            <w:tcW w:type="dxa" w:w="5400"/>
          </w:tcPr>
          <w:p>
            <w:r>
              <w:rPr>
                <w:sz w:val="20"/>
              </w:rPr>
              <w:t>Letter of Support - City of Maplewood</w:t>
            </w:r>
          </w:p>
        </w:tc>
        <w:tc>
          <w:tcPr>
            <w:tcW w:type="dxa" w:w="5400"/>
          </w:tcPr>
          <w:p>
            <w:r>
              <w:rPr>
                <w:sz w:val="20"/>
              </w:rPr>
            </w:r>
            <w:r>
              <w:rPr>
                <w:color w:val="000000" w:themeColor="hyperlink"/>
                <w:sz w:val="20"/>
                <w:u w:val="single"/>
              </w:rPr>
              <w:hyperlink r:id="rId19">
                <w:r>
                  <w:rPr/>
                  <w:t>7d19656e-e36.pdf</w:t>
                </w:r>
              </w:hyperlink>
            </w:r>
          </w:p>
        </w:tc>
      </w:tr>
      <w:tr>
        <w:tc>
          <w:tcPr>
            <w:tcW w:type="dxa" w:w="5400"/>
          </w:tcPr>
          <w:p>
            <w:r>
              <w:rPr>
                <w:sz w:val="20"/>
              </w:rPr>
              <w:t>Letter of Support - City of Lindstrom</w:t>
            </w:r>
          </w:p>
        </w:tc>
        <w:tc>
          <w:tcPr>
            <w:tcW w:type="dxa" w:w="5400"/>
          </w:tcPr>
          <w:p>
            <w:r>
              <w:rPr>
                <w:sz w:val="20"/>
              </w:rPr>
            </w:r>
            <w:r>
              <w:rPr>
                <w:color w:val="000000" w:themeColor="hyperlink"/>
                <w:sz w:val="20"/>
                <w:u w:val="single"/>
              </w:rPr>
              <w:hyperlink r:id="rId20">
                <w:r>
                  <w:rPr/>
                  <w:t>7773e31c-d85.pdf</w:t>
                </w:r>
              </w:hyperlink>
            </w:r>
          </w:p>
        </w:tc>
      </w:tr>
      <w:tr>
        <w:tc>
          <w:tcPr>
            <w:tcW w:type="dxa" w:w="5400"/>
          </w:tcPr>
          <w:p>
            <w:r>
              <w:rPr>
                <w:sz w:val="20"/>
              </w:rPr>
              <w:t>Letter of Support - South Washington Watershed District</w:t>
            </w:r>
          </w:p>
        </w:tc>
        <w:tc>
          <w:tcPr>
            <w:tcW w:type="dxa" w:w="5400"/>
          </w:tcPr>
          <w:p>
            <w:r>
              <w:rPr>
                <w:sz w:val="20"/>
              </w:rPr>
            </w:r>
            <w:r>
              <w:rPr>
                <w:color w:val="000000" w:themeColor="hyperlink"/>
                <w:sz w:val="20"/>
                <w:u w:val="single"/>
              </w:rPr>
              <w:hyperlink r:id="rId21">
                <w:r>
                  <w:rPr/>
                  <w:t>082f85db-3cb.pdf</w:t>
                </w:r>
              </w:hyperlink>
            </w:r>
          </w:p>
        </w:tc>
      </w:tr>
      <w:tr>
        <w:tc>
          <w:tcPr>
            <w:tcW w:type="dxa" w:w="5400"/>
          </w:tcPr>
          <w:p>
            <w:r>
              <w:rPr>
                <w:sz w:val="20"/>
              </w:rPr>
              <w:t>Letter of Support - Ramsey Co</w:t>
            </w:r>
          </w:p>
        </w:tc>
        <w:tc>
          <w:tcPr>
            <w:tcW w:type="dxa" w:w="5400"/>
          </w:tcPr>
          <w:p>
            <w:r>
              <w:rPr>
                <w:sz w:val="20"/>
              </w:rPr>
            </w:r>
            <w:r>
              <w:rPr>
                <w:color w:val="000000" w:themeColor="hyperlink"/>
                <w:sz w:val="20"/>
                <w:u w:val="single"/>
              </w:rPr>
              <w:hyperlink r:id="rId22">
                <w:r>
                  <w:rPr/>
                  <w:t>7a0401ed-7c2.pdf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added 6 months to the end date. I modified some milestones by a few months, to accommodate U of MN process to staff up. I added ' interpretive panels' to the dissemination narrative, as that item had been erroneously omitted in that area in the proposal while mentioned elsewhere.</w:t>
        <w:br/>
        <w:br/>
        <w:t>1.31.25 I added dissemination language assuring Trust Fund recognition; reviewed Subaward designation and accepted conditions of Service Contract; updated location information using the new pop up menus.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 xml:space="preserve">Dr. Lee Frelich, Director of Center for Forest Ecology, University of Minnesota; Carole Gernes, City of Maplewood; Matt Fraley, City of Lindstrom; Tony Randazzo, South Washington Watershed District; Michael Goodnature, Ramsey County. </w:t>
        <w:br/>
        <w:t>Todd Rexine, Great River Greening; Kateri Routh, Great River Greening.</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c9fa204-9de.pdf" TargetMode="External"/><Relationship Id="rId13" Type="http://schemas.openxmlformats.org/officeDocument/2006/relationships/hyperlink" Target="https://lccmrprojectmgmt.leg.mn/media/attachments/007a7fc2-71d.pdf" TargetMode="External"/><Relationship Id="rId14" Type="http://schemas.openxmlformats.org/officeDocument/2006/relationships/hyperlink" Target="https://lccmrprojectmgmt.leg.mn/media/attachments/a1719efb-fb8.pdf" TargetMode="External"/><Relationship Id="rId15" Type="http://schemas.openxmlformats.org/officeDocument/2006/relationships/hyperlink" Target="https://lccmrprojectmgmt.leg.mn/media/attachments/3227bf99-3ba.pdf" TargetMode="External"/><Relationship Id="rId16" Type="http://schemas.openxmlformats.org/officeDocument/2006/relationships/hyperlink" Target="https://lccmrprojectmgmt.leg.mn/media/attachments/e313d41e-f34.pdf" TargetMode="External"/><Relationship Id="rId17" Type="http://schemas.openxmlformats.org/officeDocument/2006/relationships/hyperlink" Target="https://lccmrprojectmgmt.leg.mn/media/attachments/d84ff476-be7.pdf" TargetMode="External"/><Relationship Id="rId18" Type="http://schemas.openxmlformats.org/officeDocument/2006/relationships/hyperlink" Target="https://lccmrprojectmgmt.leg.mn/media/attachments/58e1902b-968.pdf" TargetMode="External"/><Relationship Id="rId19" Type="http://schemas.openxmlformats.org/officeDocument/2006/relationships/hyperlink" Target="https://lccmrprojectmgmt.leg.mn/media/attachments/7d19656e-e36.pdf" TargetMode="External"/><Relationship Id="rId20" Type="http://schemas.openxmlformats.org/officeDocument/2006/relationships/hyperlink" Target="https://lccmrprojectmgmt.leg.mn/media/attachments/7773e31c-d85.pdf" TargetMode="External"/><Relationship Id="rId21" Type="http://schemas.openxmlformats.org/officeDocument/2006/relationships/hyperlink" Target="https://lccmrprojectmgmt.leg.mn/media/attachments/082f85db-3cb.pdf" TargetMode="External"/><Relationship Id="rId22" Type="http://schemas.openxmlformats.org/officeDocument/2006/relationships/hyperlink" Target="https://lccmrprojectmgmt.leg.mn/media/attachments/7a0401ed-7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Accelerated Genetic Migration of Bur Oak- 10yr Data</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