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2025-063</w:t>
      </w:r>
    </w:p>
    <w:p>
      <w:r>
        <w:rPr>
          <w:b/>
        </w:rPr>
        <w:t xml:space="preserve">Staff Lead: </w:t>
      </w:r>
      <w:r>
        <w:t>Lisa Bigaouette</w:t>
      </w:r>
    </w:p>
    <w:p>
      <w:r>
        <w:rPr>
          <w:b/>
        </w:rPr>
        <w:t xml:space="preserve">Date this document submitted to LCCMR: </w:t>
      </w:r>
      <w:r>
        <w:t>June 8, 2025</w:t>
      </w:r>
    </w:p>
    <w:p>
      <w:r>
        <w:rPr>
          <w:b/>
        </w:rPr>
        <w:t xml:space="preserve">Project Title: </w:t>
      </w:r>
      <w:r>
        <w:t>Evaluating Anticoagulant Rodenticide Exposure in Minnesota's Carnivores</w:t>
      </w:r>
    </w:p>
    <w:p>
      <w:r>
        <w:rPr>
          <w:b/>
        </w:rPr>
        <w:t xml:space="preserve">Project Budget: </w:t>
      </w:r>
      <w:r>
        <w:t>$247,000</w:t>
      </w:r>
    </w:p>
    <w:p/>
    <w:p>
      <w:pPr>
        <w:pStyle w:val="Heading2"/>
        <w:spacing w:before="0" w:after="80"/>
      </w:pPr>
      <w:r>
        <w:rPr>
          <w:b/>
          <w:color w:val="2C559C"/>
          <w:sz w:val="28"/>
        </w:rPr>
        <w:t>Project Manager Information</w:t>
      </w:r>
    </w:p>
    <w:p>
      <w:r>
        <w:rPr>
          <w:b/>
        </w:rPr>
        <w:t xml:space="preserve">Name: </w:t>
      </w:r>
      <w:r>
        <w:t>Michael Joyce</w:t>
      </w:r>
    </w:p>
    <w:p>
      <w:r>
        <w:rPr>
          <w:b/>
        </w:rPr>
        <w:t xml:space="preserve">Organization: </w:t>
      </w:r>
      <w:r>
        <w:t>U of MN - Duluth - NRRI</w:t>
      </w:r>
    </w:p>
    <w:p>
      <w:r>
        <w:rPr>
          <w:b/>
        </w:rPr>
        <w:t xml:space="preserve">Office Telephone: </w:t>
      </w:r>
      <w:r>
        <w:t>(218) 788-2656</w:t>
      </w:r>
    </w:p>
    <w:p>
      <w:r>
        <w:rPr>
          <w:b/>
        </w:rPr>
        <w:t xml:space="preserve">Email: </w:t>
      </w:r>
      <w:r>
        <w:t>joyc0073@d.umn.edu</w:t>
      </w:r>
    </w:p>
    <w:p>
      <w:r>
        <w:rPr>
          <w:b/>
        </w:rPr>
        <w:t xml:space="preserve">Web Address: </w:t>
      </w:r>
      <w:r>
        <w:t>https://www.nrri.umn.edu/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03d</w:t>
      </w:r>
    </w:p>
    <w:p>
      <w:r>
        <w:rPr>
          <w:b/>
        </w:rPr>
        <w:t xml:space="preserve">Appropriation Language: </w:t>
      </w:r>
      <w:r>
        <w:t xml:space="preserve">$247,000 the first year is from the trust fund to the Board of Regents of the University of Minnesota for the Natural Resources Research Institute in Duluth to determine anticoagulant rodenticide exposure rates and concentrations in Minnesota bobcats and fishers, factors influencing exposure risk, and negative effects of rodenticide exposure on carnivore health.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determine anticoagulant rodenticide exposure rates and concentrations in bobcats and fishers, evaluate factors influencing exposure risk, and evaluate negative effects of rodenticide exposure on carnivore health.</w:t>
      </w:r>
    </w:p>
    <w:p>
      <w:pPr>
        <w:spacing w:after="60"/>
      </w:pPr>
      <w:r>
        <w:rPr>
          <w:b/>
        </w:rPr>
        <w:t>Describe the opportunity or problem your proposal seeks to address. Include any relevant background information.</w:t>
      </w:r>
    </w:p>
    <w:p>
      <w:r>
        <w:t>Rodenticides are used to control rodent populations to protect crops, reduce disease and property risks in human dwellings, and prevent ecological damage. Anticoagulant rodenticides (hereafter, ARs) are a class of rodenticides that interfere with blood clotting factors. Importantly, the negative effects of rodenticides are the same whether ingested directly by rodents or indirectly by predators eating rodents that were poisoned.</w:t>
        <w:br/>
        <w:br/>
        <w:t>Recent studies have found AR exposure and poisoning to be surprisingly widespread among wild carnivore populations:</w:t>
        <w:br/>
        <w:br/>
        <w:t>1. Predators in Europe, New Zealand, and North American have high rates of AR exposure.</w:t>
        <w:br/>
        <w:t xml:space="preserve">2. Over 78% of fishers and ~50% of bobcats sampled in the northeastern US were exposed to ARs. </w:t>
        <w:br/>
        <w:t>3. AR exposure is highest near urban and agricultural areas but also present in remote areas.</w:t>
        <w:br/>
        <w:t>4. Fishers have received lethal doses of ARs in the wild.</w:t>
        <w:br/>
        <w:t xml:space="preserve">5. AR consumption can cause negative effects on carnivore health and behavior. </w:t>
        <w:br/>
        <w:br/>
        <w:t>Exposure of predators to ARs is an emerging issue that is receiving a lot of global attention, but data from Minnesota are lacking. Research is needed to fill key knowledge gaps including identifying exposure pathways, evaluating negative effects of exposure on wildlife populations, and determining effective strategies for reducing AR exposure.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will evaluate anticoagulant rodenticide (AR) exposure rates in bobcats and fishers to determine whether Minnesota's carnivores are being exposed to ARs and to fill key knowledge gaps related to exposure risk factors and effects of AR exposure. Given the widespread exposure of fishers and bobcats elsewhere in North America, we anticipate finding high exposure rates in Minnesota. </w:t>
        <w:br/>
        <w:br/>
        <w:t>We will work with MN DNR researchers and managers to sample road-killed and trapper-harvested bobcats and fishers for exposure to 11 first- and second-generation ARs. We will combine AR exposure data with sample location, age, sex, and reproductive status of females to evaluate negative effects of AR exposure. We will use the data we collect to:</w:t>
        <w:br/>
        <w:br/>
        <w:t>1. Determine current prevalence of AR exposure in Minnesota bobcats and fishers.</w:t>
        <w:br/>
        <w:t xml:space="preserve">2. Evaluate factors influencing AR exposure risk. </w:t>
        <w:br/>
        <w:t>3. Map AR exposure risk for bobcats and fishers in Minnesota.</w:t>
        <w:br/>
        <w:t xml:space="preserve">4. Evaluate negative consequences of AR exposure to carnivore health and reproduction. </w:t>
        <w:br/>
        <w:br/>
        <w:t>The results of this project will have high management value. Additionally, we expect our results to be of high interest and value to the public. We will conduct public outreach and disseminate project results to help raise awareness of AR exposure in Minnesota's carnivores.</w:t>
      </w:r>
    </w:p>
    <w:p>
      <w:pPr>
        <w:spacing w:after="60"/>
      </w:pPr>
      <w:r>
        <w:rPr>
          <w:b/>
        </w:rPr>
        <w:t xml:space="preserve">What are the specific project outcomes as they relate to the public purpose of protection, conservation, preservation, and enhancement of the state’s natural resources? </w:t>
      </w:r>
    </w:p>
    <w:p>
      <w:r>
        <w:t>No studies have evaluated anticoagulant rodenticide (AR) exposure in Minnesota's carnivores. Prevalence, routes of exposure, and potential effects to populations are currently unknown. The results of this study will help fill those critical knowledge gaps and provide foundational data on AR exposure in bobcats and fishers. Specifically, understanding the factors that influence AR exposure can help identify and map sources of exposure, which can be used to direct efforts to reduce AR exposure risk. High AR exposure rates for bobcats and fishers may also indicate risk to other predators. Results will guide efforts to protect carnivores and reduce AR exposure.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r>
        <w:t>NE</w:t>
      </w:r>
      <w:r>
        <w:t xml:space="preserve">, </w:t>
      </w:r>
      <w:r>
        <w:t>NW</w:t>
      </w:r>
      <w:r>
        <w:t xml:space="preserve">, </w:t>
      </w:r>
      <w:r>
        <w:t>SE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Evaluate anticoagulant rodenticide exposure rates, exposure risk factors, and negative effects on bobcats and fishers.</w:t>
      </w:r>
    </w:p>
    <w:p>
      <w:r>
        <w:rPr>
          <w:b/>
        </w:rPr>
        <w:t xml:space="preserve">Activity Budget: </w:t>
      </w:r>
      <w:r>
        <w:t>$247,000</w:t>
      </w:r>
    </w:p>
    <w:p>
      <w:r>
        <w:rPr>
          <w:b/>
        </w:rPr>
        <w:t xml:space="preserve">Activity Description: </w:t>
        <w:br/>
      </w:r>
      <w:r>
        <w:t>We will use samples collected from road-killed and harvested bobcats and fishers to evaluate anticoagulant rodenticide (AR) exposure rates for both species. We will analyze 200-300 samples of each species distributed from across their range to evaluate spatial patterns in AR exposure. We will also evaluate intrinsic (species, sex, age, diet) and extrinsic (proximity to human dwellings, land cover) factors influencing rodenticide exposure risk and map exposure risk across Minnesota. AR exposure risk will be determined by analyzing tissues for exposure to 11 different first- and second-generation ARs. For adult females, we will evaluate past reproductive status and litter sizes to determine whether AR exposure has an adverse effect on reproductive output. Reproductive data will come from analyzing placental scars on the uterus of each sample. Animal age will be determined for each sample using cementum annuli from teeth. We will conduct public outreach to share results of the project with the public.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a power analysis to evaluate sample size targets and modify targets if needed.</w:t>
            </w:r>
          </w:p>
        </w:tc>
        <w:tc>
          <w:tcPr>
            <w:tcW w:type="dxa" w:w="2160"/>
          </w:tcPr>
          <w:p>
            <w:pPr>
              <w:jc w:val="right"/>
            </w:pPr>
            <w:r>
              <w:rPr>
                <w:sz w:val="20"/>
              </w:rPr>
              <w:t>November 30, 2025</w:t>
            </w:r>
          </w:p>
        </w:tc>
      </w:tr>
      <w:tr>
        <w:tc>
          <w:tcPr>
            <w:tcW w:type="dxa" w:w="8640"/>
          </w:tcPr>
          <w:p>
            <w:r>
              <w:rPr>
                <w:sz w:val="20"/>
              </w:rPr>
              <w:t>Summarize all data collected during the first year of sampling</w:t>
            </w:r>
          </w:p>
        </w:tc>
        <w:tc>
          <w:tcPr>
            <w:tcW w:type="dxa" w:w="2160"/>
          </w:tcPr>
          <w:p>
            <w:pPr>
              <w:jc w:val="right"/>
            </w:pPr>
            <w:r>
              <w:rPr>
                <w:sz w:val="20"/>
              </w:rPr>
              <w:t>June 30, 2026</w:t>
            </w:r>
          </w:p>
        </w:tc>
      </w:tr>
      <w:tr>
        <w:tc>
          <w:tcPr>
            <w:tcW w:type="dxa" w:w="8640"/>
          </w:tcPr>
          <w:p>
            <w:r>
              <w:rPr>
                <w:sz w:val="20"/>
              </w:rPr>
              <w:t>Summarize all data collected during the second year of sampling</w:t>
            </w:r>
          </w:p>
        </w:tc>
        <w:tc>
          <w:tcPr>
            <w:tcW w:type="dxa" w:w="2160"/>
          </w:tcPr>
          <w:p>
            <w:pPr>
              <w:jc w:val="right"/>
            </w:pPr>
            <w:r>
              <w:rPr>
                <w:sz w:val="20"/>
              </w:rPr>
              <w:t>June 30, 2027</w:t>
            </w:r>
          </w:p>
        </w:tc>
      </w:tr>
      <w:tr>
        <w:tc>
          <w:tcPr>
            <w:tcW w:type="dxa" w:w="8640"/>
          </w:tcPr>
          <w:p>
            <w:r>
              <w:rPr>
                <w:sz w:val="20"/>
              </w:rPr>
              <w:t>Determine AR exposure rates from 200-300 bobcat and fisher samples</w:t>
            </w:r>
          </w:p>
        </w:tc>
        <w:tc>
          <w:tcPr>
            <w:tcW w:type="dxa" w:w="2160"/>
          </w:tcPr>
          <w:p>
            <w:pPr>
              <w:jc w:val="right"/>
            </w:pPr>
            <w:r>
              <w:rPr>
                <w:sz w:val="20"/>
              </w:rPr>
              <w:t>September 30, 2027</w:t>
            </w:r>
          </w:p>
        </w:tc>
      </w:tr>
      <w:tr>
        <w:tc>
          <w:tcPr>
            <w:tcW w:type="dxa" w:w="8640"/>
          </w:tcPr>
          <w:p>
            <w:r>
              <w:rPr>
                <w:sz w:val="20"/>
              </w:rPr>
              <w:t>Complete and summarize final analyses of factors influencing exposure risk and negative effects on carnivores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Michael Joyce</w:t>
            </w:r>
          </w:p>
        </w:tc>
        <w:tc>
          <w:tcPr>
            <w:tcW w:type="dxa" w:w="1440"/>
          </w:tcPr>
          <w:p>
            <w:r>
              <w:rPr>
                <w:sz w:val="20"/>
              </w:rPr>
              <w:t>UMD-NRRI</w:t>
            </w:r>
          </w:p>
        </w:tc>
        <w:tc>
          <w:tcPr>
            <w:tcW w:type="dxa" w:w="6840"/>
          </w:tcPr>
          <w:p>
            <w:r>
              <w:rPr>
                <w:sz w:val="20"/>
              </w:rPr>
              <w:t>Project manager, overseeing all aspects of this project including coordinating sample collection, data management and analysis, and reporting.</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Our results will be of high value to wildlife researchers and managers tasked with monitoring and managing bobcats and fishers in Minnesota. We will engage with DNR wildlife researchers and managers at all stages of this project to communicate objectives, gain feedback on project design and methods, and share results. Additionally, wildlife researchers and managers will help with access to carcasses to sample for anticoagulant rodenticide exposure.  We will provide formal and informal updates to stakeholders via state and local meetings, email communication, and other means. We will present project results to the larger scientific community at state, regional, and national scientific meetings. Travel to meetings outside of Minnesota will not be paid for by project funding. We will also prepare and submit manuscripts for publication in peer-reviewed scientific journals. </w:t>
        <w:br/>
        <w:br/>
        <w:t xml:space="preserve">We will conduct outreach with tribal authorities to share our project objectives and invite tribal input and collaboration. We will also share data directly with tribal authorities. </w:t>
        <w:br/>
        <w:br/>
        <w:t xml:space="preserve">We anticipate that this project will be of high interest and value to the public. We will engage with the public to share project background and updates as the project progresses. We will create a website to distribute information to the public. We will also disseminate results to the public via webinars and other outreach events. Public outreach will help raise awareness of issues with using anticoagulant rodenticides. </w:t>
        <w:br/>
        <w:br/>
        <w:t xml:space="preserve">We will likely have periodic contact with print and broadcast media. These contacts will be documented as they occur. </w:t>
        <w:br/>
        <w:br/>
        <w:t>The Minnesota Environment and Natural Resources Trust Fund (ENRTF) will be acknowledged through use of the trust fund logo or attribution language on project print and electronic media, publications,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generate foundational data on anticoagulant rodenticide (AR) exposure risk and negative effects to bobcats and fishers, two charismatic game species in Minnesota. We have engaged with the MN DNR while developing this proposal to ensure results are of high management value. If results show high rates of AR exposure and the potential for negative effects to both populations, future work may be needed to evaluate exposure of other carnivores and develop effective strategies to reduce AR exposure while also effectively controlling rodent populations. Funding sources for future work would depend on the results of this project.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Den Boxes for Fishers and other Nesting Wildlife</w:t>
            </w:r>
          </w:p>
        </w:tc>
        <w:tc>
          <w:tcPr>
            <w:tcW w:type="dxa" w:w="4680"/>
          </w:tcPr>
          <w:p>
            <w:r>
              <w:rPr>
                <w:sz w:val="20"/>
              </w:rPr>
              <w:t>M.L. 2019, First Special Session, Chp. 4, Art. 2, Sec. 2, Subd. 03i</w:t>
            </w:r>
          </w:p>
        </w:tc>
        <w:tc>
          <w:tcPr>
            <w:tcW w:type="dxa" w:w="1440"/>
          </w:tcPr>
          <w:p>
            <w:pPr>
              <w:jc w:val="right"/>
            </w:pPr>
            <w:r>
              <w:rPr>
                <w:sz w:val="20"/>
              </w:rPr>
              <w:t>$190,000</w:t>
            </w:r>
          </w:p>
        </w:tc>
      </w:tr>
      <w:tr>
        <w:tc>
          <w:tcPr>
            <w:tcW w:type="dxa" w:w="4680"/>
          </w:tcPr>
          <w:p>
            <w:r>
              <w:rPr>
                <w:sz w:val="20"/>
              </w:rPr>
              <w:t>Bobcat And Fisher Habitat Use And Interactions</w:t>
            </w:r>
          </w:p>
        </w:tc>
        <w:tc>
          <w:tcPr>
            <w:tcW w:type="dxa" w:w="4680"/>
          </w:tcPr>
          <w:p>
            <w:r>
              <w:rPr>
                <w:sz w:val="20"/>
              </w:rPr>
              <w:t>M.L. 2021, First Special Session, Chp. 6, Art. 5, Sec. 2, Subd. 03i</w:t>
            </w:r>
          </w:p>
        </w:tc>
        <w:tc>
          <w:tcPr>
            <w:tcW w:type="dxa" w:w="1440"/>
          </w:tcPr>
          <w:p>
            <w:pPr>
              <w:jc w:val="right"/>
            </w:pPr>
            <w:r>
              <w:rPr>
                <w:sz w:val="20"/>
              </w:rPr>
              <w:t>$400,000</w:t>
            </w:r>
          </w:p>
        </w:tc>
      </w:tr>
      <w:tr>
        <w:tc>
          <w:tcPr>
            <w:tcW w:type="dxa" w:w="4680"/>
          </w:tcPr>
          <w:p>
            <w:r>
              <w:rPr>
                <w:sz w:val="20"/>
              </w:rPr>
              <w:t>Distribution and Movements of Fishers in Southern Minnesota</w:t>
            </w:r>
          </w:p>
        </w:tc>
        <w:tc>
          <w:tcPr>
            <w:tcW w:type="dxa" w:w="4680"/>
          </w:tcPr>
          <w:p>
            <w:r>
              <w:rPr>
                <w:sz w:val="20"/>
              </w:rPr>
              <w:t>M.L. 2022, , Chp. 94, Art. , Sec. 2, Subd. 03f</w:t>
            </w:r>
          </w:p>
        </w:tc>
        <w:tc>
          <w:tcPr>
            <w:tcW w:type="dxa" w:w="1440"/>
          </w:tcPr>
          <w:p>
            <w:pPr>
              <w:jc w:val="right"/>
            </w:pPr>
            <w:r>
              <w:rPr>
                <w:sz w:val="20"/>
              </w:rPr>
              <w:t>$340,000</w:t>
            </w:r>
          </w:p>
        </w:tc>
      </w:tr>
      <w:tr>
        <w:tc>
          <w:tcPr>
            <w:tcW w:type="dxa" w:w="4680"/>
          </w:tcPr>
          <w:p>
            <w:r>
              <w:rPr>
                <w:sz w:val="20"/>
              </w:rPr>
              <w:t>Changing Distribution of Flying Squirrel Species in Minnesota</w:t>
            </w:r>
          </w:p>
        </w:tc>
        <w:tc>
          <w:tcPr>
            <w:tcW w:type="dxa" w:w="4680"/>
          </w:tcPr>
          <w:p>
            <w:r>
              <w:rPr>
                <w:sz w:val="20"/>
              </w:rPr>
              <w:t>M.L. 2023, , Chp. 60, Art. 2, Sec. 2, Subd. 03e</w:t>
            </w:r>
          </w:p>
        </w:tc>
        <w:tc>
          <w:tcPr>
            <w:tcW w:type="dxa" w:w="1440"/>
          </w:tcPr>
          <w:p>
            <w:pPr>
              <w:jc w:val="right"/>
            </w:pPr>
            <w:r>
              <w:rPr>
                <w:sz w:val="20"/>
              </w:rPr>
              <w:t>$186,000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Michael Joyce, Researcher 6</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27.1%</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$17,414</w:t>
            </w:r>
          </w:p>
        </w:tc>
      </w:tr>
      <w:tr>
        <w:tc>
          <w:tcPr>
            <w:tcW w:type="dxa" w:w="864"/>
          </w:tcPr>
          <w:p>
            <w:r>
              <w:rPr>
                <w:sz w:val="20"/>
              </w:rPr>
              <w:t>TBD, Researcher</w:t>
            </w:r>
          </w:p>
        </w:tc>
        <w:tc>
          <w:tcPr>
            <w:tcW w:type="dxa" w:w="1440"/>
          </w:tcPr>
          <w:p>
            <w:r>
              <w:rPr>
                <w:sz w:val="20"/>
              </w:rPr>
            </w:r>
          </w:p>
        </w:tc>
        <w:tc>
          <w:tcPr>
            <w:tcW w:type="dxa" w:w="5472"/>
          </w:tcPr>
          <w:p>
            <w:r>
              <w:rPr>
                <w:sz w:val="20"/>
              </w:rPr>
              <w:t>Planning and coordination of sample collection and data management</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1.05</w:t>
            </w:r>
          </w:p>
        </w:tc>
        <w:tc>
          <w:tcPr>
            <w:tcW w:type="dxa" w:w="360"/>
          </w:tcPr>
          <w:p>
            <w:r>
              <w:rPr>
                <w:sz w:val="20"/>
              </w:rPr>
            </w:r>
          </w:p>
        </w:tc>
        <w:tc>
          <w:tcPr>
            <w:tcW w:type="dxa" w:w="1152"/>
          </w:tcPr>
          <w:p>
            <w:pPr>
              <w:jc w:val="right"/>
            </w:pPr>
            <w:r>
              <w:rPr>
                <w:sz w:val="20"/>
              </w:rPr>
              <w:t>$75,941</w:t>
            </w:r>
          </w:p>
        </w:tc>
      </w:tr>
      <w:tr>
        <w:tc>
          <w:tcPr>
            <w:tcW w:type="dxa" w:w="864"/>
          </w:tcPr>
          <w:p>
            <w:r>
              <w:rPr>
                <w:sz w:val="20"/>
              </w:rPr>
              <w:t>Masters Graduate Student</w:t>
            </w:r>
          </w:p>
        </w:tc>
        <w:tc>
          <w:tcPr>
            <w:tcW w:type="dxa" w:w="1440"/>
          </w:tcPr>
          <w:p>
            <w:r>
              <w:rPr>
                <w:sz w:val="20"/>
              </w:rPr>
            </w:r>
          </w:p>
        </w:tc>
        <w:tc>
          <w:tcPr>
            <w:tcW w:type="dxa" w:w="5472"/>
          </w:tcPr>
          <w:p>
            <w:r>
              <w:rPr>
                <w:sz w:val="20"/>
              </w:rPr>
              <w:t>Completes MS thesis on project</w:t>
            </w:r>
          </w:p>
        </w:tc>
        <w:tc>
          <w:tcPr>
            <w:tcW w:type="dxa" w:w="4032"/>
          </w:tcPr>
          <w:p>
            <w:r>
              <w:rPr>
                <w:sz w:val="20"/>
              </w:rPr>
            </w:r>
          </w:p>
        </w:tc>
        <w:tc>
          <w:tcPr>
            <w:tcW w:type="dxa" w:w="360"/>
          </w:tcPr>
          <w:p>
            <w:r>
              <w:rPr>
                <w:sz w:val="20"/>
              </w:rPr>
            </w:r>
          </w:p>
        </w:tc>
        <w:tc>
          <w:tcPr>
            <w:tcW w:type="dxa" w:w="360"/>
          </w:tcPr>
          <w:p>
            <w:pPr>
              <w:jc w:val="right"/>
            </w:pPr>
            <w:r>
              <w:rPr>
                <w:sz w:val="20"/>
              </w:rPr>
              <w:t>20.1%</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$27,836</w:t>
            </w:r>
          </w:p>
        </w:tc>
      </w:tr>
      <w:tr>
        <w:tc>
          <w:tcPr>
            <w:tcW w:type="dxa" w:w="864"/>
          </w:tcPr>
          <w:p>
            <w:r>
              <w:rPr>
                <w:sz w:val="20"/>
              </w:rPr>
              <w:t>Seasonal Technician</w:t>
            </w:r>
          </w:p>
        </w:tc>
        <w:tc>
          <w:tcPr>
            <w:tcW w:type="dxa" w:w="1440"/>
          </w:tcPr>
          <w:p>
            <w:r>
              <w:rPr>
                <w:sz w:val="20"/>
              </w:rPr>
            </w:r>
          </w:p>
        </w:tc>
        <w:tc>
          <w:tcPr>
            <w:tcW w:type="dxa" w:w="5472"/>
          </w:tcPr>
          <w:p>
            <w:r>
              <w:rPr>
                <w:sz w:val="20"/>
              </w:rPr>
              <w:t>Conducts sample preparation and data entry/QAQC work</w:t>
            </w:r>
          </w:p>
        </w:tc>
        <w:tc>
          <w:tcPr>
            <w:tcW w:type="dxa" w:w="4032"/>
          </w:tcPr>
          <w:p>
            <w:r>
              <w:rPr>
                <w:sz w:val="20"/>
              </w:rPr>
            </w:r>
          </w:p>
        </w:tc>
        <w:tc>
          <w:tcPr>
            <w:tcW w:type="dxa" w:w="360"/>
          </w:tcPr>
          <w:p>
            <w:r>
              <w:rPr>
                <w:sz w:val="20"/>
              </w:rPr>
            </w:r>
          </w:p>
        </w:tc>
        <w:tc>
          <w:tcPr>
            <w:tcW w:type="dxa" w:w="360"/>
          </w:tcPr>
          <w:p>
            <w:pPr>
              <w:jc w:val="right"/>
            </w:pPr>
            <w:r>
              <w:rPr>
                <w:sz w:val="20"/>
              </w:rPr>
              <w:t>7.1%</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$28,946</w:t>
            </w:r>
          </w:p>
        </w:tc>
      </w:tr>
      <w:tr>
        <w:tc>
          <w:tcPr>
            <w:tcW w:type="dxa" w:w="864"/>
          </w:tcPr>
          <w:p>
            <w:r>
              <w:rPr>
                <w:sz w:val="20"/>
              </w:rPr>
              <w:t>Undergraduate Research Assistant</w:t>
            </w:r>
          </w:p>
        </w:tc>
        <w:tc>
          <w:tcPr>
            <w:tcW w:type="dxa" w:w="1440"/>
          </w:tcPr>
          <w:p>
            <w:r>
              <w:rPr>
                <w:sz w:val="20"/>
              </w:rPr>
            </w:r>
          </w:p>
        </w:tc>
        <w:tc>
          <w:tcPr>
            <w:tcW w:type="dxa" w:w="5472"/>
          </w:tcPr>
          <w:p>
            <w:r>
              <w:rPr>
                <w:sz w:val="20"/>
              </w:rPr>
              <w:t>Sample preparation and data entry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$9,206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$159,343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Michigan State University Vet Diagnostic Lab (or similar service lab)</w:t>
            </w:r>
          </w:p>
        </w:tc>
        <w:tc>
          <w:tcPr>
            <w:tcW w:type="dxa" w:w="1440"/>
          </w:tcPr>
          <w:p>
            <w:r>
              <w:rPr>
                <w:sz w:val="20"/>
              </w:rPr>
              <w:t>Service Contract</w:t>
            </w:r>
          </w:p>
        </w:tc>
        <w:tc>
          <w:tcPr>
            <w:tcW w:type="dxa" w:w="5472"/>
          </w:tcPr>
          <w:p>
            <w:r>
              <w:rPr>
                <w:sz w:val="20"/>
              </w:rPr>
              <w:t>Toxicological analysis of 200-300 carnivore samples per species to determine anticoagulant rodenticide exposure.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sample processing and collection (nitrile gloves, scalpel blades, measurement tools, sample bags and vials, shipping supplies)</w:t>
            </w:r>
          </w:p>
        </w:tc>
        <w:tc>
          <w:tcPr>
            <w:tcW w:type="dxa" w:w="4032"/>
          </w:tcPr>
          <w:p>
            <w:r>
              <w:rPr>
                <w:sz w:val="20"/>
              </w:rPr>
              <w:t>Supplies needed to process carnivore carcasses and store samples prior to submission to toxicology lab for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$4,557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MN DNR wildlife management offices to pick up samples</w:t>
            </w:r>
          </w:p>
        </w:tc>
        <w:tc>
          <w:tcPr>
            <w:tcW w:type="dxa" w:w="4032"/>
          </w:tcPr>
          <w:p>
            <w:r>
              <w:rPr>
                <w:sz w:val="20"/>
              </w:rPr>
              <w:t>Travel to obtain samples to test for toxicological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fees</w:t>
            </w:r>
          </w:p>
        </w:tc>
        <w:tc>
          <w:tcPr>
            <w:tcW w:type="dxa" w:w="4032"/>
          </w:tcPr>
          <w:p>
            <w:r>
              <w:rPr>
                <w:sz w:val="20"/>
              </w:rPr>
              <w:t>Fees for shipping samples to the veterniary diagnostic lab for toxicological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$135,850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$135,850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$135,850</w:t>
            </w:r>
          </w:p>
        </w:tc>
      </w:tr>
    </w:tbl>
    <w:p/>
    <w:p>
      <w:r>
        <w:rPr>
          <w:b/>
        </w:rPr>
        <w:t>Total Project Cost: $382,850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dd864e5c-7aa.pdf</w:t>
          </w:r>
        </w:hyperlink>
      </w:r>
    </w:p>
    <w:p>
      <w:pPr>
        <w:pStyle w:val="Heading4"/>
        <w:spacing w:before="40" w:after="20"/>
      </w:pPr>
      <w:r>
        <w:rPr>
          <w:b/>
          <w:i/>
          <w:color w:val="000000"/>
          <w:sz w:val="24"/>
        </w:rPr>
        <w:t>Alternate Text for Visual Component</w:t>
      </w:r>
    </w:p>
    <w:p>
      <w:r>
        <w:t>The graphic shows a diagram of rodenticide being eaten by rodents and then poisoned rodents being eaten by bobcats and fishers. Text describes past studies showing high rodenticide exposure rates in bobcats and fishers, project activities, research needs, and project impacts....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SPA Transmittal Letter</w:t>
            </w:r>
          </w:p>
        </w:tc>
        <w:tc>
          <w:tcPr>
            <w:tcW w:type="dxa" w:w="5400"/>
          </w:tcPr>
          <w:p>
            <w:r>
              <w:rPr>
                <w:sz w:val="20"/>
              </w:rPr>
            </w:r>
            <w:r>
              <w:rPr>
                <w:color w:val="000000" w:themeColor="hyperlink"/>
                <w:sz w:val="20"/>
                <w:u w:val="single"/>
              </w:rPr>
              <w:hyperlink r:id="rId13">
                <w:r>
                  <w:rPr/>
                  <w:t>8730e01d-f5e.pdf</w:t>
                </w:r>
              </w:hyperlink>
            </w:r>
          </w:p>
        </w:tc>
      </w:tr>
      <w:tr>
        <w:tc>
          <w:tcPr>
            <w:tcW w:type="dxa" w:w="5400"/>
          </w:tcPr>
          <w:p>
            <w:r>
              <w:rPr>
                <w:sz w:val="20"/>
              </w:rPr>
              <w:t>2025-063 Research Addendum revised_final</w:t>
            </w:r>
          </w:p>
        </w:tc>
        <w:tc>
          <w:tcPr>
            <w:tcW w:type="dxa" w:w="5400"/>
          </w:tcPr>
          <w:p>
            <w:r>
              <w:rPr>
                <w:sz w:val="20"/>
              </w:rPr>
            </w:r>
            <w:r>
              <w:rPr>
                <w:color w:val="000000" w:themeColor="hyperlink"/>
                <w:sz w:val="20"/>
                <w:u w:val="single"/>
              </w:rPr>
              <w:hyperlink r:id="rId14">
                <w:r>
                  <w:rPr/>
                  <w:t>d234904a-71b.docx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Very few changes were made. I added the Dissemination section text, updated the location of project activities to include southeastern Minnesota, and corrected one grammar issue I found in the text (data...is was changed to data...are since data is the plural form of datum).</w:t>
        <w:br/>
        <w:br/>
        <w:t xml:space="preserve">I revised the text in the Narrative section about how results of this study will protect and enhance Minnesota's wildlife. </w:t>
        <w:br/>
        <w:br/>
        <w:t xml:space="preserve">I added an additional milestone to activity 1 to conduct a power analysis to evaluate sample size adequacy for the number of factors we intend to include in our analyses. </w:t>
        <w:br/>
        <w:br/>
        <w:t>I revised Milestone 4 of Activity 1 to indicate that it represents a completion of final analyses and summary of project outcomes.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Taylor Velander (NRRI), Michael McMahon (NRRI), Anna Mangan (NRRI), Megan Gorder (NRRI), Julie Christopherson (NRRI), UMD Sponsored Project Administration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d864e5c-7aa.pdf" TargetMode="External"/><Relationship Id="rId13" Type="http://schemas.openxmlformats.org/officeDocument/2006/relationships/hyperlink" Target="https://lccmrprojectmgmt.leg.mn/media/attachments/8730e01d-f5e.pdf" TargetMode="External"/><Relationship Id="rId14" Type="http://schemas.openxmlformats.org/officeDocument/2006/relationships/hyperlink" Target="https://lccmrprojectmgmt.leg.mn/media/attachments/d234904a-71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Evaluating Anticoagulant Rodenticide Exposure in Minnesota's Carnivores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