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2022 Approved Work Plan</w:t>
      </w:r>
    </w:p>
    <w:p>
      <w:pPr>
        <w:pStyle w:val="Heading2"/>
        <w:spacing w:before="0" w:after="80"/>
      </w:pPr>
      <w:r>
        <w:rPr>
          <w:b/>
          <w:color w:val="2C559C"/>
          <w:sz w:val="28"/>
        </w:rPr>
        <w:t>General Information</w:t>
      </w:r>
    </w:p>
    <w:p>
      <w:r>
        <w:rPr>
          <w:b/>
        </w:rPr>
        <w:t xml:space="preserve">ID Number: </w:t>
      </w:r>
      <w:r>
        <w:t>2022-300</w:t>
      </w:r>
    </w:p>
    <w:p>
      <w:r>
        <w:rPr>
          <w:b/>
        </w:rPr>
        <w:t xml:space="preserve">Staff Lead: </w:t>
      </w:r>
      <w:r>
        <w:t>Michael Varien</w:t>
      </w:r>
    </w:p>
    <w:p>
      <w:r>
        <w:rPr>
          <w:b/>
        </w:rPr>
        <w:t xml:space="preserve">Date this document submitted to LCCMR: </w:t>
      </w:r>
      <w:r>
        <w:t>August 12, 2022</w:t>
      </w:r>
    </w:p>
    <w:p>
      <w:r>
        <w:rPr>
          <w:b/>
        </w:rPr>
        <w:t xml:space="preserve">Project Title: </w:t>
      </w:r>
      <w:r>
        <w:t>Groundwater Storage and Recovery Datatbase</w:t>
      </w:r>
    </w:p>
    <w:p>
      <w:r>
        <w:rPr>
          <w:b/>
        </w:rPr>
        <w:t xml:space="preserve">Project Budget: </w:t>
      </w:r>
      <w:r>
        <w:t>$400,000</w:t>
      </w:r>
    </w:p>
    <w:p/>
    <w:p>
      <w:pPr>
        <w:pStyle w:val="Heading2"/>
        <w:spacing w:before="0" w:after="80"/>
      </w:pPr>
      <w:r>
        <w:rPr>
          <w:b/>
          <w:color w:val="2C559C"/>
          <w:sz w:val="28"/>
        </w:rPr>
        <w:t>Project Manager Information</w:t>
      </w:r>
    </w:p>
    <w:p>
      <w:r>
        <w:rPr>
          <w:b/>
        </w:rPr>
        <w:t xml:space="preserve">Name: </w:t>
      </w:r>
      <w:r>
        <w:t>Jay Frischman</w:t>
      </w:r>
    </w:p>
    <w:p>
      <w:r>
        <w:rPr>
          <w:b/>
        </w:rPr>
        <w:t xml:space="preserve">Organization: </w:t>
      </w:r>
      <w:r>
        <w:t>MN DNR - Ecological and Water Resources Division</w:t>
      </w:r>
    </w:p>
    <w:p>
      <w:r>
        <w:rPr>
          <w:b/>
        </w:rPr>
        <w:t xml:space="preserve">Office Telephone: </w:t>
      </w:r>
      <w:r>
        <w:t>(651) 259-5733</w:t>
      </w:r>
    </w:p>
    <w:p>
      <w:r>
        <w:rPr>
          <w:b/>
        </w:rPr>
        <w:t xml:space="preserve">Email: </w:t>
      </w:r>
      <w:r>
        <w:t>jay.frischman@state.mn.us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Date Work Plan Approved by LCCMR: </w:t>
      </w:r>
      <w:r>
        <w:t>August 17, 2022</w:t>
      </w:r>
    </w:p>
    <w:p>
      <w:r>
        <w:rPr>
          <w:b/>
        </w:rPr>
        <w:t xml:space="preserve">Reporting Schedule: </w:t>
      </w:r>
      <w:r>
        <w:t>March 1</w:t>
      </w:r>
      <w:r>
        <w:t xml:space="preserve"> / </w:t>
      </w:r>
      <w:r>
        <w:t>September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2022, Chp. 94, Sec. 2, Subd. 10f</w:t>
      </w:r>
    </w:p>
    <w:p>
      <w:r>
        <w:rPr>
          <w:b/>
        </w:rPr>
        <w:t xml:space="preserve">Appropriation Language: </w:t>
      </w:r>
      <w:r>
        <w:t>$400,000 the second year is from the trust fund to the commissioner of natural resources to complete a centralized aquifer property database to provide needed data for site characterization.</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Complete a centralized aquifer property database to provide needed hydrogeologic data for characterization of groundwater storage, recovery and appropriation sites.</w:t>
      </w:r>
    </w:p>
    <w:p>
      <w:pPr>
        <w:spacing w:after="60"/>
      </w:pPr>
      <w:r>
        <w:rPr>
          <w:b/>
        </w:rPr>
        <w:t>Describe the opportunity or problem your proposal seeks to address. Include any relevant background information.</w:t>
      </w:r>
    </w:p>
    <w:p>
      <w:r>
        <w:t>As water use in MN increases, resource managers are relying more heavily on groundwater models to guide decision making about sustainability issues. In a recent LCCMR-funded study, (Banking Groundwater: A study examining aquifer storage and recovery for groundwater sustainability in Minnesota) researchers developed a modeling schema to identify areas that may be conducive for enhanced groundwater recharge. Transmissivity and storativity are parameters that define how water moves in an aquifer and are key inputs to the model. These aquifer properties are essential inputs for modeling groundwater pumping impacts, understanding surface water/groundwater interactions and predicting pollution migration.</w:t>
        <w:br/>
        <w:br/>
        <w:t>Aquifer tests are field experiments conducted to collect data used to calculate transmissivity and storativity. Aquifer tests are time consuming and expensive to conduct. In 2014, an interagency effort commenced to design an authoritative database to store aquifer test information collected in the State. The Minnesota Aquifer Properties Database (MNAP), was completed in 2018 to house the data. Unfortunately at present, the database has limited output functionality. Since 2019 DNR staff have been making slow progress populating the database. To-date, 1655 aquifer tests, warehoused in various agencies, have been compiled at DNR and are being reviewed by hydrologists before entry into the database.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Limited groundwater supplies can locally constrain growth opportunity in Minnesota.   Artificial groundwater recharge may be necessary to help meet the competing needs of communities, industry and agriculture.  Researchers from the UofMN, state and federal agencies and Freshwater have developed a modeling schema that would be used to assess the potential to actively enhance groundwater recharge of an area.  Storage and recovery (ASR) involves the use of injection and recovery wells.  The ASR modeling would be used to assess an aquifer’s suitability for recharge before installation and testing of the injection and recovery wells.</w:t>
        <w:br/>
        <w:t xml:space="preserve">  </w:t>
        <w:br/>
        <w:t xml:space="preserve">Managers increasing rely on model output as a tool to assist with decision processes.  DNR utilizes groundwater models to predict pumping impacts on neighboring wells, investigate surface water-groundwater interactions, while the USGS constructs regional scale models to assess aquifer sustainability.  MDH and MPCA apply groundwater models to predict contaminant movement and assess source water vulnerability to land use.  </w:t>
        <w:br/>
        <w:br/>
        <w:t>Transmissivity and storativity are the key aquifer property inputs for these modeling efforts.</w:t>
        <w:br/>
        <w:t>Providing these aquifer parameters in a standardized, easily accessed format will make ASR project design and groundwater modeling efforts less expensive by preventing the need to repeat aquifer tests in areas with known aquifer information.</w:t>
      </w:r>
    </w:p>
    <w:p>
      <w:pPr>
        <w:spacing w:after="60"/>
      </w:pPr>
      <w:r>
        <w:rPr>
          <w:b/>
        </w:rPr>
        <w:t xml:space="preserve">What are the specific project outcomes as they relate to the public purpose of protection, conservation, preservation, and enhancement of the state’s natural resources? </w:t>
      </w:r>
    </w:p>
    <w:p>
      <w:r>
        <w:t>This appropriation will accelerate the entry of aquifer test information by hiring staff dedicated to aquifer test analysis and data entry. The appropriation will provide additional resources for MNIT developers to complete the output functionality of the database. MNIT will develop refinements that will make data entry easier and faster (including uploading scanned reports) and prepare a user-friendly public-side web interface so Minnesotans can search for and download aquifer properties for site characterization on their own. The attached map shows the statewide distribution of existing aquifer tests and the progress that has been made by DNR to populate the database.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Aquifer test file review for "Completeness." Complete files are categorized as “Ready for Entry.” Incomplete files are categorized by deficiency.</w:t>
      </w:r>
    </w:p>
    <w:p>
      <w:r>
        <w:rPr>
          <w:b/>
        </w:rPr>
        <w:t xml:space="preserve">Activity Budget: </w:t>
      </w:r>
      <w:r>
        <w:t>$264,120</w:t>
      </w:r>
    </w:p>
    <w:p>
      <w:r>
        <w:rPr>
          <w:b/>
        </w:rPr>
        <w:t xml:space="preserve">Activity Description: </w:t>
        <w:br/>
      </w:r>
      <w:r>
        <w:t>Approximately two-thirds of the 1655 aquifer tests that have been compiled have been reviewed for completeness.  If a file is “ready for entry” the file contains the following information:  pumping well information, date test was conducted, analysis methods employed, assumptions required for the analysis and a calculated aquifer parameter (transmissivity, storativity or both).  To date, information from 470 of the 1655 aquifer tests have been entered into the Minnesota Aquifer Properties Database (MNAP).  An additional 105 aquifer tests are ready for entry.</w:t>
        <w:br/>
        <w:br/>
        <w:t>The remaining 1080 tests require review for completeness, information update or data analysis and ultimately entry into the database.  This appropriation will be used to accomplish these tasks.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Review files for completeness.</w:t>
            </w:r>
          </w:p>
        </w:tc>
        <w:tc>
          <w:tcPr>
            <w:tcW w:type="dxa" w:w="2160"/>
          </w:tcPr>
          <w:p>
            <w:pPr>
              <w:jc w:val="right"/>
            </w:pPr>
            <w:r>
              <w:rPr>
                <w:sz w:val="20"/>
              </w:rPr>
              <w:t>January 31, 2023</w:t>
            </w:r>
          </w:p>
        </w:tc>
      </w:tr>
      <w:tr>
        <w:tc>
          <w:tcPr>
            <w:tcW w:type="dxa" w:w="8640"/>
          </w:tcPr>
          <w:p>
            <w:r>
              <w:rPr>
                <w:sz w:val="20"/>
              </w:rPr>
              <w:t>Update missing or incorrect information.</w:t>
            </w:r>
          </w:p>
        </w:tc>
        <w:tc>
          <w:tcPr>
            <w:tcW w:type="dxa" w:w="2160"/>
          </w:tcPr>
          <w:p>
            <w:pPr>
              <w:jc w:val="right"/>
            </w:pPr>
            <w:r>
              <w:rPr>
                <w:sz w:val="20"/>
              </w:rPr>
              <w:t>July 31, 2024</w:t>
            </w:r>
          </w:p>
        </w:tc>
      </w:tr>
      <w:tr>
        <w:tc>
          <w:tcPr>
            <w:tcW w:type="dxa" w:w="8640"/>
          </w:tcPr>
          <w:p>
            <w:r>
              <w:rPr>
                <w:sz w:val="20"/>
              </w:rPr>
              <w:t>Analyze aquifer test data and calculate aquifer parameters</w:t>
            </w:r>
          </w:p>
        </w:tc>
        <w:tc>
          <w:tcPr>
            <w:tcW w:type="dxa" w:w="2160"/>
          </w:tcPr>
          <w:p>
            <w:pPr>
              <w:jc w:val="right"/>
            </w:pPr>
            <w:r>
              <w:rPr>
                <w:sz w:val="20"/>
              </w:rPr>
              <w:t>January 31, 2025</w:t>
            </w:r>
          </w:p>
        </w:tc>
      </w:tr>
      <w:tr>
        <w:tc>
          <w:tcPr>
            <w:tcW w:type="dxa" w:w="8640"/>
          </w:tcPr>
          <w:p>
            <w:r>
              <w:rPr>
                <w:sz w:val="20"/>
              </w:rPr>
              <w:t>Enter data into MNAP database.</w:t>
            </w:r>
          </w:p>
        </w:tc>
        <w:tc>
          <w:tcPr>
            <w:tcW w:type="dxa" w:w="2160"/>
          </w:tcPr>
          <w:p>
            <w:pPr>
              <w:jc w:val="right"/>
            </w:pPr>
            <w:r>
              <w:rPr>
                <w:sz w:val="20"/>
              </w:rPr>
              <w:t>January 31, 2025</w:t>
            </w:r>
          </w:p>
        </w:tc>
      </w:tr>
    </w:tbl>
    <w:p/>
    <w:p>
      <w:pPr>
        <w:pStyle w:val="Heading3"/>
        <w:spacing w:after="60"/>
      </w:pPr>
      <w:r>
        <w:rPr>
          <w:b/>
          <w:color w:val="254885"/>
          <w:sz w:val="26"/>
        </w:rPr>
        <w:t>Activity 2: Enhance data entry and output.</w:t>
      </w:r>
    </w:p>
    <w:p>
      <w:r>
        <w:rPr>
          <w:b/>
        </w:rPr>
        <w:t xml:space="preserve">Activity Budget: </w:t>
      </w:r>
      <w:r>
        <w:t>$135,880</w:t>
      </w:r>
    </w:p>
    <w:p>
      <w:r>
        <w:rPr>
          <w:b/>
        </w:rPr>
        <w:t xml:space="preserve">Activity Description: </w:t>
        <w:br/>
      </w:r>
      <w:r>
        <w:t>This portion of the appropriation will be used by MNIT to develop database refinements to aid date entry and to prepare a public-facing web interface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Add features to the data entry interface to make data entry easier and faster.</w:t>
            </w:r>
          </w:p>
        </w:tc>
        <w:tc>
          <w:tcPr>
            <w:tcW w:type="dxa" w:w="2160"/>
          </w:tcPr>
          <w:p>
            <w:pPr>
              <w:jc w:val="right"/>
            </w:pPr>
            <w:r>
              <w:rPr>
                <w:sz w:val="20"/>
              </w:rPr>
              <w:t>January 31, 2024</w:t>
            </w:r>
          </w:p>
        </w:tc>
      </w:tr>
      <w:tr>
        <w:tc>
          <w:tcPr>
            <w:tcW w:type="dxa" w:w="8640"/>
          </w:tcPr>
          <w:p>
            <w:r>
              <w:rPr>
                <w:sz w:val="20"/>
              </w:rPr>
              <w:t>Complete database output functions.</w:t>
            </w:r>
          </w:p>
        </w:tc>
        <w:tc>
          <w:tcPr>
            <w:tcW w:type="dxa" w:w="2160"/>
          </w:tcPr>
          <w:p>
            <w:pPr>
              <w:jc w:val="right"/>
            </w:pPr>
            <w:r>
              <w:rPr>
                <w:sz w:val="20"/>
              </w:rPr>
              <w:t>January 31, 2024</w:t>
            </w:r>
          </w:p>
        </w:tc>
      </w:tr>
      <w:tr>
        <w:tc>
          <w:tcPr>
            <w:tcW w:type="dxa" w:w="8640"/>
          </w:tcPr>
          <w:p>
            <w:r>
              <w:rPr>
                <w:sz w:val="20"/>
              </w:rPr>
              <w:t>Prepare a user-friendly public-side web interface for data search and download on their own.</w:t>
            </w:r>
          </w:p>
        </w:tc>
        <w:tc>
          <w:tcPr>
            <w:tcW w:type="dxa" w:w="2160"/>
          </w:tcPr>
          <w:p>
            <w:pPr>
              <w:jc w:val="right"/>
            </w:pPr>
            <w:r>
              <w:rPr>
                <w:sz w:val="20"/>
              </w:rPr>
              <w:t>January 31,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Minnesota Department of Health</w:t>
            </w:r>
          </w:p>
        </w:tc>
        <w:tc>
          <w:tcPr>
            <w:tcW w:type="dxa" w:w="1440"/>
          </w:tcPr>
          <w:p>
            <w:r>
              <w:rPr>
                <w:sz w:val="20"/>
              </w:rPr>
              <w:t>Minnesota Department of Health</w:t>
            </w:r>
          </w:p>
        </w:tc>
        <w:tc>
          <w:tcPr>
            <w:tcW w:type="dxa" w:w="6840"/>
          </w:tcPr>
          <w:p>
            <w:r>
              <w:rPr>
                <w:sz w:val="20"/>
              </w:rPr>
              <w:t>MDH is a primary contributor (well over half) of the aquifer test reports compiled to date.  MDH conducts aquifer tests to acquire the aquifer properties needed to model well head protection areas.</w:t>
            </w:r>
          </w:p>
        </w:tc>
        <w:tc>
          <w:tcPr>
            <w:tcW w:type="dxa" w:w="1080"/>
          </w:tcPr>
          <w:p>
            <w:r>
              <w:rPr>
                <w:sz w:val="20"/>
              </w:rPr>
              <w:t>No</w:t>
            </w:r>
          </w:p>
        </w:tc>
      </w:tr>
      <w:tr>
        <w:tc>
          <w:tcPr>
            <w:tcW w:type="dxa" w:w="1440"/>
          </w:tcPr>
          <w:p>
            <w:r>
              <w:rPr>
                <w:sz w:val="20"/>
              </w:rPr>
              <w:t>United States Geological Survey</w:t>
            </w:r>
          </w:p>
        </w:tc>
        <w:tc>
          <w:tcPr>
            <w:tcW w:type="dxa" w:w="1440"/>
          </w:tcPr>
          <w:p>
            <w:r>
              <w:rPr>
                <w:sz w:val="20"/>
              </w:rPr>
              <w:t>United States Geological Survey</w:t>
            </w:r>
          </w:p>
        </w:tc>
        <w:tc>
          <w:tcPr>
            <w:tcW w:type="dxa" w:w="6840"/>
          </w:tcPr>
          <w:p>
            <w:r>
              <w:rPr>
                <w:sz w:val="20"/>
              </w:rPr>
              <w:t>USGS is a primary source of aquifer test reports and aquifer property data.  USGS conducts aquifer tests to assess groundwater availability and uses aquifer properties to model groundwater sustainability.</w:t>
            </w:r>
          </w:p>
        </w:tc>
        <w:tc>
          <w:tcPr>
            <w:tcW w:type="dxa" w:w="1080"/>
          </w:tcPr>
          <w:p>
            <w:r>
              <w:rPr>
                <w:sz w:val="20"/>
              </w:rPr>
              <w:t>No</w:t>
            </w:r>
          </w:p>
        </w:tc>
      </w:tr>
      <w:tr>
        <w:tc>
          <w:tcPr>
            <w:tcW w:type="dxa" w:w="1440"/>
          </w:tcPr>
          <w:p>
            <w:r>
              <w:rPr>
                <w:sz w:val="20"/>
              </w:rPr>
              <w:t>Minnesota Pollution Control Agency</w:t>
            </w:r>
          </w:p>
        </w:tc>
        <w:tc>
          <w:tcPr>
            <w:tcW w:type="dxa" w:w="1440"/>
          </w:tcPr>
          <w:p>
            <w:r>
              <w:rPr>
                <w:sz w:val="20"/>
              </w:rPr>
              <w:t>Minnesota Pollution Control Agency</w:t>
            </w:r>
          </w:p>
        </w:tc>
        <w:tc>
          <w:tcPr>
            <w:tcW w:type="dxa" w:w="6840"/>
          </w:tcPr>
          <w:p>
            <w:r>
              <w:rPr>
                <w:sz w:val="20"/>
              </w:rPr>
              <w:t>MPCA has been a contributor of aquifer test reports.  MPCA staff utilize aquifer properties to model contaminant movement and groundwater risk assessment.</w:t>
            </w:r>
          </w:p>
        </w:tc>
        <w:tc>
          <w:tcPr>
            <w:tcW w:type="dxa" w:w="1080"/>
          </w:tcPr>
          <w:p>
            <w:r>
              <w:rPr>
                <w:sz w:val="20"/>
              </w:rPr>
              <w:t>No</w:t>
            </w:r>
          </w:p>
        </w:tc>
      </w:tr>
      <w:tr>
        <w:tc>
          <w:tcPr>
            <w:tcW w:type="dxa" w:w="1440"/>
          </w:tcPr>
          <w:p>
            <w:r>
              <w:rPr>
                <w:sz w:val="20"/>
              </w:rPr>
              <w:t>Dr. Carrie Jennings</w:t>
            </w:r>
          </w:p>
        </w:tc>
        <w:tc>
          <w:tcPr>
            <w:tcW w:type="dxa" w:w="1440"/>
          </w:tcPr>
          <w:p>
            <w:r>
              <w:rPr>
                <w:sz w:val="20"/>
              </w:rPr>
              <w:t>Freshwater</w:t>
            </w:r>
          </w:p>
        </w:tc>
        <w:tc>
          <w:tcPr>
            <w:tcW w:type="dxa" w:w="6840"/>
          </w:tcPr>
          <w:p>
            <w:r>
              <w:rPr>
                <w:sz w:val="20"/>
              </w:rPr>
              <w:t>Dr. Jennings secured the LCCMR funds.  She was a primary investigator on a previous LCCMR funded study, "Banking Groundwater: A study examining aquifer storage and recovery for groundwater sustainability."  Aquifer properties (transmissivity and storativity) are key inputs to the methodology discussed in the study.</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DNR uses official news releases that are picked up by media outlets across the state.  Additional dissemination outlets include articles or updates in newsletters for organizations such as the Legislative Water Commission, Freshwater, the Minnesota Ground Water Association and the Minnesota Water Resources Conference.</w:t>
        <w:br/>
        <w:t>Cooperating agencies (MDH, MDA, MPCA, USGS) will be notified directly upon completion of the project.</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database will be added to the technology assets of the DNR, and ongoing maintenance and occasional upgrades will become part of what EWR must budget for on an ongoing basis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Hydrogeologist 3</w:t>
            </w:r>
          </w:p>
        </w:tc>
        <w:tc>
          <w:tcPr>
            <w:tcW w:type="dxa" w:w="1440"/>
          </w:tcPr>
          <w:p>
            <w:r>
              <w:rPr>
                <w:sz w:val="20"/>
              </w:rPr>
            </w:r>
          </w:p>
        </w:tc>
        <w:tc>
          <w:tcPr>
            <w:tcW w:type="dxa" w:w="5472"/>
          </w:tcPr>
          <w:p>
            <w:r>
              <w:rPr>
                <w:sz w:val="20"/>
              </w:rPr>
              <w:t>Aquifer test analyst and technical lead to junior hydrogeologist.</w:t>
            </w:r>
          </w:p>
        </w:tc>
        <w:tc>
          <w:tcPr>
            <w:tcW w:type="dxa" w:w="4032"/>
          </w:tcPr>
          <w:p>
            <w:r>
              <w:rPr>
                <w:sz w:val="20"/>
              </w:rPr>
            </w:r>
          </w:p>
        </w:tc>
        <w:tc>
          <w:tcPr>
            <w:tcW w:type="dxa" w:w="360"/>
          </w:tcPr>
          <w:p>
            <w:r>
              <w:rPr>
                <w:sz w:val="20"/>
              </w:rPr>
            </w:r>
          </w:p>
        </w:tc>
        <w:tc>
          <w:tcPr>
            <w:tcW w:type="dxa" w:w="360"/>
          </w:tcPr>
          <w:p>
            <w:pPr>
              <w:jc w:val="right"/>
            </w:pPr>
            <w:r>
              <w:rPr>
                <w:sz w:val="20"/>
              </w:rPr>
              <w:t>35%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$148,827</w:t>
            </w:r>
          </w:p>
        </w:tc>
      </w:tr>
      <w:tr>
        <w:tc>
          <w:tcPr>
            <w:tcW w:type="dxa" w:w="864"/>
          </w:tcPr>
          <w:p>
            <w:r>
              <w:rPr>
                <w:sz w:val="20"/>
              </w:rPr>
              <w:t>Hydrogeologist 1</w:t>
            </w:r>
          </w:p>
        </w:tc>
        <w:tc>
          <w:tcPr>
            <w:tcW w:type="dxa" w:w="1440"/>
          </w:tcPr>
          <w:p>
            <w:r>
              <w:rPr>
                <w:sz w:val="20"/>
              </w:rPr>
            </w:r>
          </w:p>
        </w:tc>
        <w:tc>
          <w:tcPr>
            <w:tcW w:type="dxa" w:w="5472"/>
          </w:tcPr>
          <w:p>
            <w:r>
              <w:rPr>
                <w:sz w:val="20"/>
              </w:rPr>
              <w:t>Data entry, reporting and analysis.</w:t>
            </w:r>
          </w:p>
        </w:tc>
        <w:tc>
          <w:tcPr>
            <w:tcW w:type="dxa" w:w="4032"/>
          </w:tcPr>
          <w:p>
            <w:r>
              <w:rPr>
                <w:sz w:val="20"/>
              </w:rPr>
            </w:r>
          </w:p>
        </w:tc>
        <w:tc>
          <w:tcPr>
            <w:tcW w:type="dxa" w:w="360"/>
          </w:tcPr>
          <w:p>
            <w:r>
              <w:rPr>
                <w:sz w:val="20"/>
              </w:rPr>
            </w:r>
          </w:p>
        </w:tc>
        <w:tc>
          <w:tcPr>
            <w:tcW w:type="dxa" w:w="360"/>
          </w:tcPr>
          <w:p>
            <w:pPr>
              <w:jc w:val="right"/>
            </w:pPr>
            <w:r>
              <w:rPr>
                <w:sz w:val="20"/>
              </w:rPr>
              <w:t>45%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$115,293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$264,120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MNIT</w:t>
            </w:r>
          </w:p>
        </w:tc>
        <w:tc>
          <w:tcPr>
            <w:tcW w:type="dxa" w:w="1440"/>
          </w:tcPr>
          <w:p>
            <w:r>
              <w:rPr>
                <w:sz w:val="20"/>
              </w:rPr>
              <w:t>Professional or Technical Service Contract</w:t>
            </w:r>
          </w:p>
        </w:tc>
        <w:tc>
          <w:tcPr>
            <w:tcW w:type="dxa" w:w="5472"/>
          </w:tcPr>
          <w:p>
            <w:r>
              <w:rPr>
                <w:sz w:val="20"/>
              </w:rPr>
              <w:t>Programming to enhance data entry and develop public-side web interface.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$135,880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$135,880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da2b1e4f-245.pdf</w:t>
          </w:r>
        </w:hyperlink>
      </w:r>
    </w:p>
    <w:p>
      <w:pPr>
        <w:pStyle w:val="Heading4"/>
        <w:spacing w:before="40" w:after="20"/>
      </w:pPr>
      <w:r>
        <w:rPr>
          <w:b/>
          <w:i/>
          <w:color w:val="000000"/>
          <w:sz w:val="24"/>
        </w:rPr>
        <w:t>Alternate Text for Visual Component</w:t>
      </w:r>
    </w:p>
    <w:p>
      <w:r>
        <w:t>Figure 1 is a map of MN showing the locations of the 1655 aquifer tests compiled and housed at the MN Department of Natural Resource.  The data highlight those tests already in the MNAP database and the status of the remaining files....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Table 1: Aquifer test compilation sub-categorization</w:t>
            </w:r>
          </w:p>
        </w:tc>
        <w:tc>
          <w:tcPr>
            <w:tcW w:type="dxa" w:w="5400"/>
          </w:tcPr>
          <w:p>
            <w:r>
              <w:rPr>
                <w:sz w:val="20"/>
              </w:rPr>
            </w:r>
            <w:r>
              <w:rPr>
                <w:color w:val="000000" w:themeColor="hyperlink"/>
                <w:sz w:val="20"/>
                <w:u w:val="single"/>
              </w:rPr>
              <w:hyperlink r:id="rId13">
                <w:r>
                  <w:rPr/>
                  <w:t>8c1e2619-fd8.pdf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Legislative Addition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da2b1e4f-245.pdf" TargetMode="External"/><Relationship Id="rId13" Type="http://schemas.openxmlformats.org/officeDocument/2006/relationships/hyperlink" Target="https://lccmrprojectmgmt.leg.mn/media/attachments/8c1e2619-fd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Groundwater Storage and Recovery Datatbase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