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2021-162</w:t>
      </w:r>
    </w:p>
    <w:p>
      <w:r>
        <w:rPr>
          <w:b/>
        </w:rPr>
        <w:t xml:space="preserve">Staff Lead: </w:t>
      </w:r>
      <w:r>
        <w:t>Michael Varien</w:t>
      </w:r>
    </w:p>
    <w:p>
      <w:r>
        <w:rPr>
          <w:b/>
        </w:rPr>
        <w:t xml:space="preserve">Date this document submitted to LCCMR: </w:t>
      </w:r>
      <w:r>
        <w:t>July 21, 2021</w:t>
      </w:r>
    </w:p>
    <w:p>
      <w:r>
        <w:rPr>
          <w:b/>
        </w:rPr>
        <w:t xml:space="preserve">Project Title: </w:t>
      </w:r>
      <w:r>
        <w:t>Oak Wilt Suppression At The Northern Edge II</w:t>
      </w:r>
    </w:p>
    <w:p>
      <w:r>
        <w:rPr>
          <w:b/>
        </w:rPr>
        <w:t xml:space="preserve">Project Budget: </w:t>
      </w:r>
      <w:r>
        <w:t>$423,000</w:t>
      </w:r>
    </w:p>
    <w:p/>
    <w:p>
      <w:pPr>
        <w:pStyle w:val="Heading2"/>
        <w:spacing w:before="0" w:after="80"/>
      </w:pPr>
      <w:r>
        <w:rPr>
          <w:b/>
          <w:color w:val="2C559C"/>
          <w:sz w:val="28"/>
        </w:rPr>
        <w:t>Project Manager Information</w:t>
      </w:r>
    </w:p>
    <w:p>
      <w:r>
        <w:rPr>
          <w:b/>
        </w:rPr>
        <w:t xml:space="preserve">Name: </w:t>
      </w:r>
      <w:r>
        <w:t>Shannon Wettstein</w:t>
      </w:r>
    </w:p>
    <w:p>
      <w:r>
        <w:rPr>
          <w:b/>
        </w:rPr>
        <w:t xml:space="preserve">Organization: </w:t>
      </w:r>
      <w:r>
        <w:t>Morrison Soil and Water Conservation District</w:t>
      </w:r>
    </w:p>
    <w:p>
      <w:r>
        <w:rPr>
          <w:b/>
        </w:rPr>
        <w:t xml:space="preserve">Office Telephone: </w:t>
      </w:r>
      <w:r>
        <w:t>(320) 631-3553</w:t>
      </w:r>
    </w:p>
    <w:p>
      <w:r>
        <w:rPr>
          <w:b/>
        </w:rPr>
        <w:t xml:space="preserve">Email: </w:t>
      </w:r>
      <w:r>
        <w:t>shannon.wettstein@morrisonswcd.org</w:t>
      </w:r>
    </w:p>
    <w:p>
      <w:r>
        <w:rPr>
          <w:b/>
        </w:rPr>
        <w:t xml:space="preserve">Web Address: </w:t>
      </w:r>
      <w:r>
        <w:t>https://morrisonswcd.org/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06c</w:t>
      </w:r>
    </w:p>
    <w:p>
      <w:r>
        <w:rPr>
          <w:b/>
        </w:rPr>
        <w:t xml:space="preserve">Appropriation Language: </w:t>
      </w:r>
      <w:r>
        <w:t>$423,000 the first year is from the trust fund to the commissioner of natural resources for an agreement with the Morrison Soil and Water Conservation District to continue to eradicate the northernmost occurrences of oak wilt in the state through mechanical means on select private properties to prevent oak wilt's spread to healthy state forests.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Suppress oak wilt at the leading edge to prevent infestation in private and public forests to the north and west including Pillsbury State Forest and Camp Ripley.</w:t>
      </w:r>
    </w:p>
    <w:p>
      <w:pPr>
        <w:spacing w:after="60"/>
      </w:pPr>
      <w:r>
        <w:rPr>
          <w:b/>
        </w:rPr>
        <w:t>Describe the opportunity or problem your proposal seeks to address. Include any relevant background information.</w:t>
      </w:r>
    </w:p>
    <w:p>
      <w:r>
        <w:t>The overall goal for this project is to suppress oak wilt on all known sites in Morrison County. Eradicating the oak wilt sites will protect the surrounding forest, arrest oak wilt spread to the north and west, and ease the financial burden of oak wilt to landowners in Morrison County and communities to the north.</w:t>
        <w:br/>
        <w:br/>
        <w:t>Oak wilt is a burgeoning invasive problem near Little Falls and threatens movement into the Brainerd area. It has the potential to kill significant percentages of trees in the nearly pure red oaks forests of the area. Oak wilt spots in Morrison County are at the edge of the known disease range in central Minnesota. Control of invasive species is optimal at their leading edge. If oak wilt is not controlled soon in this area, it will quickly grow to an unmanageable situation.</w:t>
      </w:r>
    </w:p>
    <w:p>
      <w:pPr>
        <w:spacing w:after="60"/>
      </w:pPr>
      <w:r>
        <w:rPr>
          <w:b/>
        </w:rPr>
        <w:t>What is your proposed solution to the problem or opportunity discussed above? i.e. What are you seeking funding to do? You will be asked to expand on this in Activities and Milestones.</w:t>
      </w:r>
    </w:p>
    <w:p>
      <w:r>
        <w:t>Morrison County SWCD staff will contact landowners to explain the importance of oak wilt control and seek permission for control. SWCD will use grant funds to contract out 100 percent of the control work, including vibratory plowing and diseased tree removal and destruction. DNR forest health (FH) staff will help the SWCD through their on-going forest health detection surveys and through technical training and advising. If oak wilt is found in the Brainerd area, this grant would be applied there, as well as at other future oak wilt outlier locations in Todd, Cass, Crow Wing, or northern Mille Lacs counties.</w:t>
      </w:r>
    </w:p>
    <w:p>
      <w:pPr>
        <w:spacing w:after="60"/>
      </w:pPr>
      <w:r>
        <w:rPr>
          <w:b/>
        </w:rPr>
        <w:t xml:space="preserve">What are the specific project outcomes as they relate to the public purpose of protection, conservation, preservation, and enhancement of the state’s natural resources? </w:t>
      </w:r>
    </w:p>
    <w:p>
      <w:r>
        <w:t>While the project is focused on private lands, the public good comes from controlling and preventing the spread of oak wilt to both public and private forests, resulting in preserved wildlife habitat and ecosystem services these healthy forests provide. Oak wilt will be eradicated in all disease locations identified by DNR and SWCD staff where landowners sign up for control, thus enhancing those forests and protecting surrounding healthy forests. Currently there are 85 known unmanaged or partially managed pockets of oak wilt in Morrison County. With projected spread, it is estimated this funding would allow treatment at 95 sites.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Control Oak Wilt</w:t>
      </w:r>
    </w:p>
    <w:p>
      <w:r>
        <w:rPr>
          <w:b/>
        </w:rPr>
        <w:t xml:space="preserve">Activity Budget: </w:t>
      </w:r>
      <w:r>
        <w:t>$340,810</w:t>
      </w:r>
    </w:p>
    <w:p>
      <w:r>
        <w:rPr>
          <w:b/>
        </w:rPr>
        <w:t xml:space="preserve">Activity Description: </w:t>
        <w:br/>
      </w:r>
      <w:r>
        <w:t>Control oak wilt by mechanical means including vibratory plowing and diseased tree removal and destruction. An optional additional control tactic would be for threatened tree removal (i.e. removal of healthy oaks inside plow lines that likely will die of oak wilt in the future).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Begin oak wilt control on selected properties with known oak wilt pockets</w:t>
            </w:r>
          </w:p>
        </w:tc>
        <w:tc>
          <w:tcPr>
            <w:tcW w:type="dxa" w:w="2160"/>
          </w:tcPr>
          <w:p>
            <w:pPr>
              <w:jc w:val="right"/>
            </w:pPr>
            <w:r>
              <w:rPr>
                <w:sz w:val="20"/>
              </w:rPr>
              <w:t>October 31, 2021</w:t>
            </w:r>
          </w:p>
        </w:tc>
      </w:tr>
      <w:tr>
        <w:tc>
          <w:tcPr>
            <w:tcW w:type="dxa" w:w="8640"/>
          </w:tcPr>
          <w:p>
            <w:r>
              <w:rPr>
                <w:sz w:val="20"/>
              </w:rPr>
              <w:t>Complete oak wilt control on selected properties with known oak wilt pockets</w:t>
            </w:r>
          </w:p>
        </w:tc>
        <w:tc>
          <w:tcPr>
            <w:tcW w:type="dxa" w:w="2160"/>
          </w:tcPr>
          <w:p>
            <w:pPr>
              <w:jc w:val="right"/>
            </w:pPr>
            <w:r>
              <w:rPr>
                <w:sz w:val="20"/>
              </w:rPr>
              <w:t>April 30, 2022</w:t>
            </w:r>
          </w:p>
        </w:tc>
      </w:tr>
      <w:tr>
        <w:tc>
          <w:tcPr>
            <w:tcW w:type="dxa" w:w="8640"/>
          </w:tcPr>
          <w:p>
            <w:r>
              <w:rPr>
                <w:sz w:val="20"/>
              </w:rPr>
              <w:t>Begin oak wilt control on selected properties identified in 2021-2022</w:t>
            </w:r>
          </w:p>
        </w:tc>
        <w:tc>
          <w:tcPr>
            <w:tcW w:type="dxa" w:w="2160"/>
          </w:tcPr>
          <w:p>
            <w:pPr>
              <w:jc w:val="right"/>
            </w:pPr>
            <w:r>
              <w:rPr>
                <w:sz w:val="20"/>
              </w:rPr>
              <w:t>October 31, 2022</w:t>
            </w:r>
          </w:p>
        </w:tc>
      </w:tr>
      <w:tr>
        <w:tc>
          <w:tcPr>
            <w:tcW w:type="dxa" w:w="8640"/>
          </w:tcPr>
          <w:p>
            <w:r>
              <w:rPr>
                <w:sz w:val="20"/>
              </w:rPr>
              <w:t>Complete oak wilt control on selected properties identified in 2021-2022</w:t>
            </w:r>
          </w:p>
        </w:tc>
        <w:tc>
          <w:tcPr>
            <w:tcW w:type="dxa" w:w="2160"/>
          </w:tcPr>
          <w:p>
            <w:pPr>
              <w:jc w:val="right"/>
            </w:pPr>
            <w:r>
              <w:rPr>
                <w:sz w:val="20"/>
              </w:rPr>
              <w:t>April 30, 2023</w:t>
            </w:r>
          </w:p>
        </w:tc>
      </w:tr>
    </w:tbl>
    <w:p/>
    <w:p>
      <w:pPr>
        <w:pStyle w:val="Heading3"/>
        <w:spacing w:after="60"/>
      </w:pPr>
      <w:r>
        <w:rPr>
          <w:b/>
          <w:color w:val="254885"/>
          <w:sz w:val="26"/>
        </w:rPr>
        <w:t>Activity 2: Secure Permission to Control Oak Wilt and Hire Contractor for Mechanical Control</w:t>
      </w:r>
    </w:p>
    <w:p>
      <w:r>
        <w:rPr>
          <w:b/>
        </w:rPr>
        <w:t xml:space="preserve">Activity Budget: </w:t>
      </w:r>
      <w:r>
        <w:t>$82,190</w:t>
      </w:r>
    </w:p>
    <w:p>
      <w:r>
        <w:rPr>
          <w:b/>
        </w:rPr>
        <w:t xml:space="preserve">Activity Description: </w:t>
        <w:br/>
      </w:r>
      <w:r>
        <w:t>SWCD staff will establish face to face meetings with affected landowners to secure permission to control oak wilt on their land. The SWCD will also establish contracts with vibratory plow companies to do the mechanical removal of trees and the disposal of infected wood.</w:t>
        <w:br/>
        <w:br/>
        <w:t>Currently there are 85 unmanaged or partially managed pockets of oak wilt on 48 different landowner parcels. Northernmost sites (closest to the Pillsbury State Forest, Camp Ripley, and Brainerd) will be controlled first. As the disease spreads and where landowners agree, treatment could be funded on up to 95 sites. SWCD will also provide technical assistance to affected landowners throughout the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Host an open house for affected landowners</w:t>
            </w:r>
          </w:p>
        </w:tc>
        <w:tc>
          <w:tcPr>
            <w:tcW w:type="dxa" w:w="2160"/>
          </w:tcPr>
          <w:p>
            <w:pPr>
              <w:jc w:val="right"/>
            </w:pPr>
            <w:r>
              <w:rPr>
                <w:sz w:val="20"/>
              </w:rPr>
              <w:t>July 31, 2021</w:t>
            </w:r>
          </w:p>
        </w:tc>
      </w:tr>
      <w:tr>
        <w:tc>
          <w:tcPr>
            <w:tcW w:type="dxa" w:w="8640"/>
          </w:tcPr>
          <w:p>
            <w:r>
              <w:rPr>
                <w:sz w:val="20"/>
              </w:rPr>
              <w:t>Request for Proposal (RFP) for work released via newspaper and vibratory plow company solicitation</w:t>
            </w:r>
          </w:p>
        </w:tc>
        <w:tc>
          <w:tcPr>
            <w:tcW w:type="dxa" w:w="2160"/>
          </w:tcPr>
          <w:p>
            <w:pPr>
              <w:jc w:val="right"/>
            </w:pPr>
            <w:r>
              <w:rPr>
                <w:sz w:val="20"/>
              </w:rPr>
              <w:t>August 31, 2021</w:t>
            </w:r>
          </w:p>
        </w:tc>
      </w:tr>
      <w:tr>
        <w:tc>
          <w:tcPr>
            <w:tcW w:type="dxa" w:w="8640"/>
          </w:tcPr>
          <w:p>
            <w:r>
              <w:rPr>
                <w:sz w:val="20"/>
              </w:rPr>
              <w:t>Secure contracts with company or companies</w:t>
            </w:r>
          </w:p>
        </w:tc>
        <w:tc>
          <w:tcPr>
            <w:tcW w:type="dxa" w:w="2160"/>
          </w:tcPr>
          <w:p>
            <w:pPr>
              <w:jc w:val="right"/>
            </w:pPr>
            <w:r>
              <w:rPr>
                <w:sz w:val="20"/>
              </w:rPr>
              <w:t>September 30, 2021</w:t>
            </w:r>
          </w:p>
        </w:tc>
      </w:tr>
      <w:tr>
        <w:tc>
          <w:tcPr>
            <w:tcW w:type="dxa" w:w="8640"/>
          </w:tcPr>
          <w:p>
            <w:r>
              <w:rPr>
                <w:sz w:val="20"/>
              </w:rPr>
              <w:t>Get signed landowner agreements from affected property owners - known locations</w:t>
            </w:r>
          </w:p>
        </w:tc>
        <w:tc>
          <w:tcPr>
            <w:tcW w:type="dxa" w:w="2160"/>
          </w:tcPr>
          <w:p>
            <w:pPr>
              <w:jc w:val="right"/>
            </w:pPr>
            <w:r>
              <w:rPr>
                <w:sz w:val="20"/>
              </w:rPr>
              <w:t>December 31, 2021</w:t>
            </w:r>
          </w:p>
        </w:tc>
      </w:tr>
      <w:tr>
        <w:tc>
          <w:tcPr>
            <w:tcW w:type="dxa" w:w="8640"/>
          </w:tcPr>
          <w:p>
            <w:r>
              <w:rPr>
                <w:sz w:val="20"/>
              </w:rPr>
              <w:t>Get signed landowner agreements for affected property owners - those identified 2021-2022</w:t>
            </w:r>
          </w:p>
        </w:tc>
        <w:tc>
          <w:tcPr>
            <w:tcW w:type="dxa" w:w="2160"/>
          </w:tcPr>
          <w:p>
            <w:pPr>
              <w:jc w:val="right"/>
            </w:pPr>
            <w:r>
              <w:rPr>
                <w:sz w:val="20"/>
              </w:rPr>
              <w:t>December 31, 2022</w:t>
            </w:r>
          </w:p>
        </w:tc>
      </w:tr>
      <w:tr>
        <w:tc>
          <w:tcPr>
            <w:tcW w:type="dxa" w:w="8640"/>
          </w:tcPr>
          <w:p>
            <w:r>
              <w:rPr>
                <w:sz w:val="20"/>
              </w:rPr>
              <w:t>Provide public outreach materials throughout project</w:t>
            </w:r>
          </w:p>
        </w:tc>
        <w:tc>
          <w:tcPr>
            <w:tcW w:type="dxa" w:w="2160"/>
          </w:tcPr>
          <w:p>
            <w:pPr>
              <w:jc w:val="right"/>
            </w:pPr>
            <w:r>
              <w:rPr>
                <w:sz w:val="20"/>
              </w:rPr>
              <w:t>April 30, 2023</w:t>
            </w:r>
          </w:p>
        </w:tc>
      </w:tr>
      <w:tr>
        <w:tc>
          <w:tcPr>
            <w:tcW w:type="dxa" w:w="8640"/>
          </w:tcPr>
          <w:p>
            <w:r>
              <w:rPr>
                <w:sz w:val="20"/>
              </w:rPr>
              <w:t>Provide technical assistance to affected landowners throughout project duration</w:t>
            </w:r>
          </w:p>
        </w:tc>
        <w:tc>
          <w:tcPr>
            <w:tcW w:type="dxa" w:w="2160"/>
          </w:tcPr>
          <w:p>
            <w:pPr>
              <w:jc w:val="right"/>
            </w:pPr>
            <w:r>
              <w:rPr>
                <w:sz w:val="20"/>
              </w:rPr>
              <w:t>April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Rachel Dube</w:t>
            </w:r>
          </w:p>
        </w:tc>
        <w:tc>
          <w:tcPr>
            <w:tcW w:type="dxa" w:w="1440"/>
          </w:tcPr>
          <w:p>
            <w:r>
              <w:rPr>
                <w:sz w:val="20"/>
              </w:rPr>
              <w:t>Department of Natural Resources</w:t>
            </w:r>
          </w:p>
        </w:tc>
        <w:tc>
          <w:tcPr>
            <w:tcW w:type="dxa" w:w="6840"/>
          </w:tcPr>
          <w:p>
            <w:r>
              <w:rPr>
                <w:sz w:val="20"/>
              </w:rPr>
              <w:t>Forest Health Specialist for DNR Forestry, Northwest Region to provide early detection of oak wilt through on-going forest health surveys in Crow Wing and Cass counties; public notification on oak wilt locations; advise and train SWCD staff on all aspects of oak wilt control; communicate to relevant SWCDs.</w:t>
            </w:r>
          </w:p>
        </w:tc>
        <w:tc>
          <w:tcPr>
            <w:tcW w:type="dxa" w:w="1080"/>
          </w:tcPr>
          <w:p>
            <w:r>
              <w:rPr>
                <w:sz w:val="20"/>
              </w:rPr>
              <w:t>No</w:t>
            </w:r>
          </w:p>
        </w:tc>
      </w:tr>
      <w:tr>
        <w:tc>
          <w:tcPr>
            <w:tcW w:type="dxa" w:w="1440"/>
          </w:tcPr>
          <w:p>
            <w:r>
              <w:rPr>
                <w:sz w:val="20"/>
              </w:rPr>
              <w:t>John Korzeniowski</w:t>
            </w:r>
          </w:p>
        </w:tc>
        <w:tc>
          <w:tcPr>
            <w:tcW w:type="dxa" w:w="1440"/>
          </w:tcPr>
          <w:p>
            <w:r>
              <w:rPr>
                <w:sz w:val="20"/>
              </w:rPr>
              <w:t>Department of Natural Resources</w:t>
            </w:r>
          </w:p>
        </w:tc>
        <w:tc>
          <w:tcPr>
            <w:tcW w:type="dxa" w:w="6840"/>
          </w:tcPr>
          <w:p>
            <w:r>
              <w:rPr>
                <w:sz w:val="20"/>
              </w:rPr>
              <w:t>DNR Area Forestry Manager for Little Falls and Backus areas will provide assistance as needed to area SWCD staff with landowner contacts and public meetings. Will also provide assistance, as needed, to DNR Forest Health Unit staff.</w:t>
            </w:r>
          </w:p>
        </w:tc>
        <w:tc>
          <w:tcPr>
            <w:tcW w:type="dxa" w:w="1080"/>
          </w:tcPr>
          <w:p>
            <w:r>
              <w:rPr>
                <w:sz w:val="20"/>
              </w:rPr>
              <w:t>No</w:t>
            </w:r>
          </w:p>
        </w:tc>
      </w:tr>
      <w:tr>
        <w:tc>
          <w:tcPr>
            <w:tcW w:type="dxa" w:w="1440"/>
          </w:tcPr>
          <w:p>
            <w:r>
              <w:rPr>
                <w:sz w:val="20"/>
              </w:rPr>
              <w:t>Brian Schwingle</w:t>
            </w:r>
          </w:p>
        </w:tc>
        <w:tc>
          <w:tcPr>
            <w:tcW w:type="dxa" w:w="1440"/>
          </w:tcPr>
          <w:p>
            <w:r>
              <w:rPr>
                <w:sz w:val="20"/>
              </w:rPr>
              <w:t>Department of Natural Resources</w:t>
            </w:r>
          </w:p>
        </w:tc>
        <w:tc>
          <w:tcPr>
            <w:tcW w:type="dxa" w:w="6840"/>
          </w:tcPr>
          <w:p>
            <w:r>
              <w:rPr>
                <w:sz w:val="20"/>
              </w:rPr>
              <w:t>Forest Health Specialist for the DNR Forestry, Central Region will do early detection of oak wilt through on-going forest health surveys in Todd, Morrison and Mille Lacs counties; public notification on oak wilt locations; advise and train SWCD staff on all aspects of oak control; communicate with relevant SWCDs.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Morrison SWCD will provide outreach to the surrounding communities through press releases, radio shows and feature articles and will coordinate with DNR on these publications. Information packets and handouts describing disease information will be available to interested landowners at both the local DNR and SWCD offices. Generic oak wilt information as well as grant details will be updated and made available on the University of Minnesota Extension, DNR Forest Health and Morrison SWCD websites. The Environment and Natural Resources Trust Fund will be acknowledged through use of the trust fund logo or attribution language on project print and electronic media, publications, signage, and other communications per the ENTRF Acknowledgment Guidelines.</w:t>
        <w:br/>
        <w:br/>
        <w:t xml:space="preserve">Landowners who have identified oak wilt on their properties will receive technical assistance and financial assistance throughout the life of the grant and follow-up visits after the grant expires will be available to ensure treatment was successful. </w:t>
        <w:br/>
        <w:br/>
        <w:t>The success of the project will be tracked with the help of the DNR Forest Health Specialist and number of sites infected, treated and success rate of treatment will be shared with local governments, landowners and surrounding SWCD’s.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DNR Forest Health team receives a forest health monitoring grant to generally survey the health of the state’s forest canopy every year. They will monitor the success of oak wilt eradication efforts in Morrison County, and they will continue to track the leading edge of oak wilt in the state. Also, the DNR secured funding to control oak wilt on public lands in the state on priority sites. If oak wilt arises after control efforts have been completed in Morrison County, the SWCD or DNR may seek another control grant for private lands.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Morrison County Performance Drainage and Hydrology Management</w:t>
            </w:r>
          </w:p>
        </w:tc>
        <w:tc>
          <w:tcPr>
            <w:tcW w:type="dxa" w:w="4680"/>
          </w:tcPr>
          <w:p>
            <w:r>
              <w:rPr>
                <w:sz w:val="20"/>
              </w:rPr>
              <w:t>M.L. 2016, Chp. 186, Sec. 2, Subd. 04r</w:t>
            </w:r>
          </w:p>
        </w:tc>
        <w:tc>
          <w:tcPr>
            <w:tcW w:type="dxa" w:w="1440"/>
          </w:tcPr>
          <w:p>
            <w:pPr>
              <w:jc w:val="right"/>
            </w:pPr>
            <w:r>
              <w:rPr>
                <w:sz w:val="20"/>
              </w:rPr>
              <w:t>$209,000</w:t>
            </w:r>
          </w:p>
        </w:tc>
      </w:tr>
      <w:tr>
        <w:tc>
          <w:tcPr>
            <w:tcW w:type="dxa" w:w="4680"/>
          </w:tcPr>
          <w:p>
            <w:r>
              <w:rPr>
                <w:sz w:val="20"/>
              </w:rPr>
              <w:t>Oak Wilt Suppression at its Northern Edge</w:t>
            </w:r>
          </w:p>
        </w:tc>
        <w:tc>
          <w:tcPr>
            <w:tcW w:type="dxa" w:w="4680"/>
          </w:tcPr>
          <w:p>
            <w:r>
              <w:rPr>
                <w:sz w:val="20"/>
              </w:rPr>
              <w:t>M.L. 2019, First Special Session, Chp. 4, Art. 2, Sec. 2, Subd. 06b</w:t>
            </w:r>
          </w:p>
        </w:tc>
        <w:tc>
          <w:tcPr>
            <w:tcW w:type="dxa" w:w="1440"/>
          </w:tcPr>
          <w:p>
            <w:pPr>
              <w:jc w:val="right"/>
            </w:pPr>
            <w:r>
              <w:rPr>
                <w:sz w:val="20"/>
              </w:rPr>
              <w:t>$100,000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Manager/Administration</w:t>
            </w:r>
          </w:p>
        </w:tc>
        <w:tc>
          <w:tcPr>
            <w:tcW w:type="dxa" w:w="1440"/>
          </w:tcPr>
          <w:p>
            <w:r>
              <w:rPr>
                <w:sz w:val="20"/>
              </w:rPr>
            </w:r>
          </w:p>
        </w:tc>
        <w:tc>
          <w:tcPr>
            <w:tcW w:type="dxa" w:w="5472"/>
          </w:tcPr>
          <w:p>
            <w:r>
              <w:rPr>
                <w:sz w:val="20"/>
              </w:rPr>
              <w:t>Billing, reporting, contract management, support</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$9,800</w:t>
            </w:r>
          </w:p>
        </w:tc>
      </w:tr>
      <w:tr>
        <w:tc>
          <w:tcPr>
            <w:tcW w:type="dxa" w:w="864"/>
          </w:tcPr>
          <w:p>
            <w:r>
              <w:rPr>
                <w:sz w:val="20"/>
              </w:rPr>
              <w:t>Technician</w:t>
            </w:r>
          </w:p>
        </w:tc>
        <w:tc>
          <w:tcPr>
            <w:tcW w:type="dxa" w:w="1440"/>
          </w:tcPr>
          <w:p>
            <w:r>
              <w:rPr>
                <w:sz w:val="20"/>
              </w:rPr>
            </w:r>
          </w:p>
        </w:tc>
        <w:tc>
          <w:tcPr>
            <w:tcW w:type="dxa" w:w="5472"/>
          </w:tcPr>
          <w:p>
            <w:r>
              <w:rPr>
                <w:sz w:val="20"/>
              </w:rPr>
              <w:t>Landowner outreach and technical assistance</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0.8</w:t>
            </w:r>
          </w:p>
        </w:tc>
        <w:tc>
          <w:tcPr>
            <w:tcW w:type="dxa" w:w="360"/>
          </w:tcPr>
          <w:p>
            <w:r>
              <w:rPr>
                <w:sz w:val="20"/>
              </w:rPr>
            </w:r>
          </w:p>
        </w:tc>
        <w:tc>
          <w:tcPr>
            <w:tcW w:type="dxa" w:w="1152"/>
          </w:tcPr>
          <w:p>
            <w:pPr>
              <w:jc w:val="right"/>
            </w:pPr>
            <w:r>
              <w:rPr>
                <w:sz w:val="20"/>
              </w:rPr>
              <w:t>$71,200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$81,000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Private Contractor TBD</w:t>
            </w:r>
          </w:p>
        </w:tc>
        <w:tc>
          <w:tcPr>
            <w:tcW w:type="dxa" w:w="1440"/>
          </w:tcPr>
          <w:p>
            <w:r>
              <w:rPr>
                <w:sz w:val="20"/>
              </w:rPr>
              <w:t>Professional or Technical Service Contract</w:t>
            </w:r>
          </w:p>
        </w:tc>
        <w:tc>
          <w:tcPr>
            <w:tcW w:type="dxa" w:w="5472"/>
          </w:tcPr>
          <w:p>
            <w:r>
              <w:rPr>
                <w:sz w:val="20"/>
              </w:rPr>
              <w:t>Vibratory plowing, tree felling and tree removal contractor. Competitive bids will be solicited.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$340,810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$340,810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w:t>
            </w:r>
          </w:p>
        </w:tc>
        <w:tc>
          <w:tcPr>
            <w:tcW w:type="dxa" w:w="4032"/>
          </w:tcPr>
          <w:p>
            <w:r>
              <w:rPr>
                <w:sz w:val="20"/>
              </w:rPr>
              <w:t>Travel to affected landowner properties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Legal Notices</w:t>
            </w:r>
          </w:p>
        </w:tc>
        <w:tc>
          <w:tcPr>
            <w:tcW w:type="dxa" w:w="4032"/>
          </w:tcPr>
          <w:p>
            <w:r>
              <w:rPr>
                <w:sz w:val="20"/>
              </w:rPr>
              <w:t>RFP Annoucement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w:t>
            </w:r>
          </w:p>
        </w:tc>
      </w:tr>
      <w:tr>
        <w:tc>
          <w:tcPr>
            <w:tcW w:type="dxa" w:w="864"/>
          </w:tcPr>
          <w:p>
            <w:r>
              <w:rPr>
                <w:sz w:val="20"/>
              </w:rPr>
            </w:r>
          </w:p>
        </w:tc>
        <w:tc>
          <w:tcPr>
            <w:tcW w:type="dxa" w:w="1440"/>
          </w:tcPr>
          <w:p>
            <w:r>
              <w:rPr>
                <w:sz w:val="20"/>
              </w:rPr>
              <w:t>Printing</w:t>
            </w:r>
          </w:p>
        </w:tc>
        <w:tc>
          <w:tcPr>
            <w:tcW w:type="dxa" w:w="5472"/>
          </w:tcPr>
          <w:p>
            <w:r>
              <w:rPr>
                <w:sz w:val="20"/>
              </w:rPr>
              <w:t>Public outreach mailings</w:t>
            </w:r>
          </w:p>
        </w:tc>
        <w:tc>
          <w:tcPr>
            <w:tcW w:type="dxa" w:w="4032"/>
          </w:tcPr>
          <w:p>
            <w:r>
              <w:rPr>
                <w:sz w:val="20"/>
              </w:rPr>
              <w:t>Outreach to affected landowners, information packets on disease and cost share assistance, landowner interest forms and documentation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$423,000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Department of Natural Resources, Area Forestry Office Staff, Little Falls</w:t>
            </w:r>
          </w:p>
        </w:tc>
        <w:tc>
          <w:tcPr>
            <w:tcW w:type="dxa" w:w="6120"/>
          </w:tcPr>
          <w:p>
            <w:r>
              <w:rPr>
                <w:sz w:val="20"/>
              </w:rPr>
              <w:t>Assistance, as needed to area SWCD staff with landowner contacts and public meetings. Assistance, as needed to DNR Forest Health Unit staff.</w:t>
            </w:r>
          </w:p>
        </w:tc>
        <w:tc>
          <w:tcPr>
            <w:tcW w:type="dxa" w:w="1080"/>
          </w:tcPr>
          <w:p>
            <w:r>
              <w:rPr>
                <w:sz w:val="20"/>
              </w:rPr>
              <w:t>Secured</w:t>
            </w:r>
          </w:p>
        </w:tc>
        <w:tc>
          <w:tcPr>
            <w:tcW w:type="dxa" w:w="1440"/>
          </w:tcPr>
          <w:p>
            <w:pPr>
              <w:jc w:val="right"/>
            </w:pPr>
            <w:r>
              <w:rPr>
                <w:sz w:val="20"/>
              </w:rPr>
              <w:t>$8,000</w:t>
            </w:r>
          </w:p>
        </w:tc>
      </w:tr>
      <w:tr>
        <w:tc>
          <w:tcPr>
            <w:tcW w:type="dxa" w:w="1080"/>
          </w:tcPr>
          <w:p>
            <w:r>
              <w:rPr>
                <w:sz w:val="20"/>
              </w:rPr>
              <w:t>In-Kind</w:t>
            </w:r>
          </w:p>
        </w:tc>
        <w:tc>
          <w:tcPr>
            <w:tcW w:type="dxa" w:w="4680"/>
          </w:tcPr>
          <w:p>
            <w:r>
              <w:rPr>
                <w:sz w:val="20"/>
              </w:rPr>
              <w:t>Department of Natural Resources, Forest Health Specialist</w:t>
            </w:r>
          </w:p>
        </w:tc>
        <w:tc>
          <w:tcPr>
            <w:tcW w:type="dxa" w:w="6120"/>
          </w:tcPr>
          <w:p>
            <w:r>
              <w:rPr>
                <w:sz w:val="20"/>
              </w:rPr>
              <w:t>Early detection of oak wilt through on-going forest health surveys; public notification on oak wilt locations; advise and train SWCD staff on all aspects of oak wilt control; communicate to all SWCDs which landowners are affected.</w:t>
            </w:r>
          </w:p>
        </w:tc>
        <w:tc>
          <w:tcPr>
            <w:tcW w:type="dxa" w:w="1080"/>
          </w:tcPr>
          <w:p>
            <w:r>
              <w:rPr>
                <w:sz w:val="20"/>
              </w:rPr>
              <w:t>Secured</w:t>
            </w:r>
          </w:p>
        </w:tc>
        <w:tc>
          <w:tcPr>
            <w:tcW w:type="dxa" w:w="1440"/>
          </w:tcPr>
          <w:p>
            <w:pPr>
              <w:jc w:val="right"/>
            </w:pPr>
            <w:r>
              <w:rPr>
                <w:sz w:val="20"/>
              </w:rPr>
              <w:t>$14,170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$22,170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$22,170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8efb031a-dee.pdf</w:t>
          </w:r>
        </w:hyperlink>
      </w:r>
    </w:p>
    <w:p>
      <w:pPr>
        <w:pStyle w:val="Heading4"/>
        <w:spacing w:before="40" w:after="20"/>
      </w:pPr>
      <w:r>
        <w:rPr>
          <w:b/>
          <w:i/>
          <w:color w:val="000000"/>
          <w:sz w:val="24"/>
        </w:rPr>
        <w:t>Alternate Text for Visual Component</w:t>
      </w:r>
    </w:p>
    <w:p>
      <w:r>
        <w:t>Map shows red oak densities in north central Minnesota with known oak wilt locations pinpointed. The map draws attention to the leading edge of oak wilt infestation located in Morrison County and the proximity to Camp Ripley and the Pillsbury State Forest. The area circled shows the working area of the grant which includes Morrison County but could extend into Todd, Crow Wing, Cass and Mille Lacs Counties if oak wilt were identified....</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Morrison SWCD Board Resolution</w:t>
            </w:r>
          </w:p>
        </w:tc>
        <w:tc>
          <w:tcPr>
            <w:tcW w:type="dxa" w:w="5400"/>
          </w:tcPr>
          <w:p>
            <w:r>
              <w:rPr>
                <w:sz w:val="20"/>
              </w:rPr>
            </w:r>
            <w:r>
              <w:rPr>
                <w:color w:val="000000" w:themeColor="hyperlink"/>
                <w:sz w:val="20"/>
                <w:u w:val="single"/>
              </w:rPr>
              <w:hyperlink r:id="rId18">
                <w:r>
                  <w:rPr/>
                  <w:t>b18bf1a6-84d.docx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Camp Ripley Letter of Support</w:t>
            </w:r>
          </w:p>
        </w:tc>
        <w:tc>
          <w:tcPr>
            <w:tcW w:type="dxa" w:w="5400"/>
          </w:tcPr>
          <w:p>
            <w:r>
              <w:rPr>
                <w:sz w:val="20"/>
              </w:rPr>
            </w:r>
            <w:r>
              <w:rPr>
                <w:color w:val="000000" w:themeColor="hyperlink"/>
                <w:sz w:val="20"/>
                <w:u w:val="single"/>
              </w:rPr>
              <w:hyperlink r:id="rId19">
                <w:r>
                  <w:rPr/>
                  <w:t>157a0109-36f.docx</w:t>
                </w:r>
              </w:hyperlink>
            </w:r>
          </w:p>
        </w:tc>
      </w:tr>
      <w:tr>
        <w:tc>
          <w:tcPr>
            <w:tcW w:type="dxa" w:w="5400"/>
          </w:tcPr>
          <w:p>
            <w:r>
              <w:rPr>
                <w:sz w:val="20"/>
              </w:rPr>
              <w:t>DNR Letter of Support</w:t>
            </w:r>
          </w:p>
        </w:tc>
        <w:tc>
          <w:tcPr>
            <w:tcW w:type="dxa" w:w="5400"/>
          </w:tcPr>
          <w:p>
            <w:r>
              <w:rPr>
                <w:sz w:val="20"/>
              </w:rPr>
            </w:r>
            <w:r>
              <w:rPr>
                <w:color w:val="000000" w:themeColor="hyperlink"/>
                <w:sz w:val="20"/>
                <w:u w:val="single"/>
              </w:rPr>
              <w:hyperlink r:id="rId20">
                <w:r>
                  <w:rPr/>
                  <w:t>e846bb05-a8f.pdf</w:t>
                </w:r>
              </w:hyperlink>
            </w:r>
          </w:p>
        </w:tc>
      </w:tr>
    </w:tbl>
    <w:p/>
    <w:p>
      <w:pPr>
        <w:pStyle w:val="Heading4"/>
        <w:spacing w:before="40" w:after="20"/>
      </w:pPr>
      <w:r>
        <w:rPr>
          <w:b/>
          <w:i/>
          <w:color w:val="000000"/>
          <w:sz w:val="24"/>
        </w:rPr>
        <w:t>Media Links</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Link</w:t>
            </w:r>
          </w:p>
        </w:tc>
      </w:tr>
      <w:tr>
        <w:tc>
          <w:tcPr>
            <w:tcW w:type="dxa" w:w="5400"/>
          </w:tcPr>
          <w:p>
            <w:r>
              <w:rPr>
                <w:sz w:val="20"/>
              </w:rPr>
              <w:t>Morrison SWCD Oak Wilt Web Page</w:t>
            </w:r>
          </w:p>
        </w:tc>
        <w:tc>
          <w:tcPr>
            <w:tcW w:type="dxa" w:w="5400"/>
          </w:tcPr>
          <w:p>
            <w:r>
              <w:rPr>
                <w:sz w:val="20"/>
              </w:rPr>
            </w:r>
            <w:r>
              <w:rPr>
                <w:color w:val="000000" w:themeColor="hyperlink"/>
                <w:sz w:val="20"/>
                <w:u w:val="single"/>
              </w:rPr>
              <w:hyperlink r:id="rId21">
                <w:r>
                  <w:rPr/>
                  <w:t>https://morrisonswcd.org/gallery/fy2019-projects-events/oak-wilt-main</w:t>
                </w:r>
              </w:hyperlink>
            </w:r>
          </w:p>
        </w:tc>
      </w:tr>
    </w:tbl>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Adjustments to the budget have been made to reflect the recommended amount. Adjustments were made to the number of sites we will be able to treat. Dissemination and Activities and Milestones sections have been revised per LCCMR staff request. Language clarified on Activities and Milestone section 2/10/21.</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efb031a-dee.pdf" TargetMode="External"/><Relationship Id="rId18" Type="http://schemas.openxmlformats.org/officeDocument/2006/relationships/hyperlink" Target="https://lccmrprojectmgmt.leg.mn/media/attachments/b18bf1a6-84d.docx" TargetMode="External"/><Relationship Id="rId19" Type="http://schemas.openxmlformats.org/officeDocument/2006/relationships/hyperlink" Target="https://lccmrprojectmgmt.leg.mn/media/attachments/157a0109-36f.docx" TargetMode="External"/><Relationship Id="rId20" Type="http://schemas.openxmlformats.org/officeDocument/2006/relationships/hyperlink" Target="https://lccmrprojectmgmt.leg.mn/media/attachments/e846bb05-a8f.pdf" TargetMode="External"/><Relationship Id="rId21" Type="http://schemas.openxmlformats.org/officeDocument/2006/relationships/hyperlink" Target="https://morrisonswcd.org/gallery/fy2019-projects-events/oak-wilt-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Oak Wilt Suppression At The Northern Edge II</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