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2021-140</w:t>
      </w:r>
    </w:p>
    <w:p>
      <w:r>
        <w:rPr>
          <w:b/>
        </w:rPr>
        <w:t xml:space="preserve">Staff Lead: </w:t>
      </w:r>
      <w:r>
        <w:t>Michael Varien</w:t>
      </w:r>
    </w:p>
    <w:p>
      <w:r>
        <w:rPr>
          <w:b/>
        </w:rPr>
        <w:t xml:space="preserve">Date this document submitted to LCCMR: </w:t>
      </w:r>
      <w:r>
        <w:t>July 21, 2021</w:t>
      </w:r>
    </w:p>
    <w:p>
      <w:r>
        <w:rPr>
          <w:b/>
        </w:rPr>
        <w:t xml:space="preserve">Project Title: </w:t>
      </w:r>
      <w:r>
        <w:t>Redwood County Rim Easement Evaluation And Public Outreach</w:t>
      </w:r>
    </w:p>
    <w:p>
      <w:r>
        <w:rPr>
          <w:b/>
        </w:rPr>
        <w:t xml:space="preserve">Project Budget: </w:t>
      </w:r>
      <w:r>
        <w:t>$197,000</w:t>
      </w:r>
    </w:p>
    <w:p/>
    <w:p>
      <w:pPr>
        <w:pStyle w:val="Heading2"/>
        <w:spacing w:before="0" w:after="80"/>
      </w:pPr>
      <w:r>
        <w:rPr>
          <w:b/>
          <w:color w:val="2C559C"/>
          <w:sz w:val="28"/>
        </w:rPr>
        <w:t>Project Manager Information</w:t>
      </w:r>
    </w:p>
    <w:p>
      <w:r>
        <w:rPr>
          <w:b/>
        </w:rPr>
        <w:t xml:space="preserve">Name: </w:t>
      </w:r>
      <w:r>
        <w:t>Scott Wold</w:t>
      </w:r>
    </w:p>
    <w:p>
      <w:r>
        <w:rPr>
          <w:b/>
        </w:rPr>
        <w:t xml:space="preserve">Organization: </w:t>
      </w:r>
      <w:r>
        <w:t>Redwood Soil &amp; Water Conservation District</w:t>
      </w:r>
    </w:p>
    <w:p>
      <w:r>
        <w:rPr>
          <w:b/>
        </w:rPr>
        <w:t xml:space="preserve">Office Telephone: </w:t>
      </w:r>
      <w:r>
        <w:t>(507) 637-2427</w:t>
      </w:r>
    </w:p>
    <w:p>
      <w:r>
        <w:rPr>
          <w:b/>
        </w:rPr>
        <w:t xml:space="preserve">Email: </w:t>
      </w:r>
      <w:r>
        <w:t>scott_w@co.redwood.mn.us</w:t>
      </w:r>
    </w:p>
    <w:p>
      <w:r>
        <w:rPr>
          <w:b/>
        </w:rPr>
        <w:t xml:space="preserve">Web Address: </w:t>
      </w:r>
      <w:r>
        <w:t>https://www.redwoodswcd.org/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03h</w:t>
      </w:r>
    </w:p>
    <w:p>
      <w:r>
        <w:rPr>
          <w:b/>
        </w:rPr>
        <w:t xml:space="preserve">Appropriation Language: </w:t>
      </w:r>
      <w:r>
        <w:t>$197,000 the first year is from the trust fund to the commissioner of natural resources for an agreement with Redwood County for the Redwood Soil and Water Conservation District to inventory vegetation, evaluate wetland conditions, and create a countywide stewardship plan for lands protected with permanent conservation easements. This appropriation may also be spent to conduct outreach to volunteers and landowners on effective prairie and wetland habitat management.</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To inventory vegetation and evaluate wetland condition on permanent conservation easements, and conduct education and outreach regarding prairie and wetland habitats and their management.</w:t>
      </w:r>
    </w:p>
    <w:p>
      <w:pPr>
        <w:spacing w:after="60"/>
      </w:pPr>
      <w:r>
        <w:rPr>
          <w:b/>
        </w:rPr>
        <w:t>Describe the opportunity or problem your proposal seeks to address. Include any relevant background information.</w:t>
      </w:r>
    </w:p>
    <w:p>
      <w:r>
        <w:t>Redwood County has 560 RIM easements on 18,661 acres (average date of enrollment - 2004). More than $1.26 billion in RIM/CREP payments have been paid to landowners, not including associated cost-share. These easements improve water quality, reduce flooding, provide valuable wildlife and pollinator habitat, create biodiversity, and add intrinsic recreational and aesthetic value.</w:t>
        <w:br/>
        <w:br/>
        <w:t>The southern Wet Prairie, Crystalline Bedrock Outcrop (Prairie), and Prairie Wetland complexes are listed by the DNR as imperiled or critically imperiled. Some of these complexes are prioritized in Minnesota’s Wildlife Action Plan for species such as the Poweshiek skipperling, regal fritillary, and grasshopper sparrow. While the vast majority of the easements were restored, they have not always matched the correct community type and many are lacking proper management. These need to be surveyed to determine reconstruction and management needs. There are regular, scheduled inspections to evaluate compliance with boundaries, noxious weed control, and minimum vegetative requirements, along with evaluating water control structures. Local office staff are not equipped to conduct in-depth evaluations on easement condition or develop long-term management strategies on each easement, certainly not countywide. Perpetual easements need frequent evaluation, proper management, landowner contact, and up-to date maps and conservation plans.</w:t>
      </w:r>
    </w:p>
    <w:p>
      <w:pPr>
        <w:spacing w:after="60"/>
      </w:pPr>
      <w:r>
        <w:rPr>
          <w:b/>
        </w:rPr>
        <w:t>What is your proposed solution to the problem or opportunity discussed above? i.e. What are you seeking funding to do? You will be asked to expand on this in Activities and Milestones.</w:t>
      </w:r>
    </w:p>
    <w:p>
      <w:r>
        <w:t>We are seeking funding for two activities to better develop and manage prairie and wetland easements. First, we are looking to conduct detailed on-site evaluations on select Reinvest In Minnesota (RIM) easements across the various habitats within Redwood County. Evaluating the plant communities, pollinators, and soil health in these easements will provide baseline information about the condition and quality of the habitat. Results from the surveys will be used to create an easement stewardship plan for each site surveyed and will serve as a template for management plans on other easements within the county.</w:t>
        <w:br/>
        <w:br/>
        <w:t>Secondly, we plan to conduct outreach and training through workshops, site tours, and volunteer activities. We will establish three management demonstration sites within the easements to provide educational opportunities to local residents and general public on the value of restoring and maintaining prairie and wetland habitats. The events will also provide training on specific reconstruction and management techniques for landowners with conservation easements. Engaging the public through hands-on activities and published material will raise awareness of the need for restoration and management of prairies and wetlands to improve biodiversity, habitat, water storage, water quality, and recreation.</w:t>
      </w:r>
    </w:p>
    <w:p>
      <w:pPr>
        <w:spacing w:after="60"/>
      </w:pPr>
      <w:r>
        <w:rPr>
          <w:b/>
        </w:rPr>
        <w:t xml:space="preserve">What are the specific project outcomes as they relate to the public purpose of protection, conservation, preservation, and enhancement of the state’s natural resources? </w:t>
      </w:r>
    </w:p>
    <w:p>
      <w:r>
        <w:t xml:space="preserve">The outcomes of easement evaluation will give us a baseline in which to direct future management efforts. Results from the surveys will be included in a Redwood County Easement Stewardship Plan. Additionally, this information will allow us to: </w:t>
        <w:br/>
        <w:t>•</w:t>
        <w:tab/>
        <w:t>obtain necessary staff and landowner training to address easement concerns</w:t>
        <w:br/>
        <w:t>•</w:t>
        <w:tab/>
        <w:t>identify key sites to enhance the native vegetation and add pollinator plots</w:t>
        <w:br/>
        <w:t>•</w:t>
        <w:tab/>
        <w:t>plan large scale tree removal and invasive species control projects across property boundaries</w:t>
        <w:br/>
        <w:t>•</w:t>
        <w:tab/>
        <w:t>identify focus areas for future protection</w:t>
        <w:br/>
        <w:t>•</w:t>
        <w:tab/>
        <w:t>develop a base of trained local land management contractors</w:t>
        <w:br/>
        <w:t>•</w:t>
        <w:tab/>
        <w:t>request additional funds to conduct further management and reconstruction activities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County(s): </w:t>
      </w:r>
      <w:r>
        <w:t>Redwood</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Easement management demonstrations, outreach, and volunteer engagement</w:t>
      </w:r>
    </w:p>
    <w:p>
      <w:r>
        <w:rPr>
          <w:b/>
        </w:rPr>
        <w:t xml:space="preserve">Activity Budget: </w:t>
      </w:r>
      <w:r>
        <w:t>$103,750</w:t>
      </w:r>
    </w:p>
    <w:p>
      <w:r>
        <w:rPr>
          <w:b/>
        </w:rPr>
        <w:t xml:space="preserve">Activity Description: </w:t>
        <w:br/>
      </w:r>
      <w:r>
        <w:t>Three management demonstration sites will be established to engage volunteers and educate attendees about the importance of restoring and managing prairie and wetland communities for habitat, biodiversity, water quality, and water retention. These events will include hands-on educational opportunities. Each site will be selected based on feasibility, results from the field surveys, and landowner agreements.</w:t>
        <w:br/>
        <w:t xml:space="preserve">The first event will focus on demonstrating the surveys taking place in the county. SWCD staff, Great River Greening ecologists, and other partners will lead a site tour on the selected easement to describe the surveys performed and management needed. The second and third events will be volunteer-based demonstration opportunities for attendees to learn management and restoration techniques. The activities will depend on site needs but may include prairie seeding, wetland planting, and cedar removal. There will also be soil borings to compare soil profiles and health across multiple sites. </w:t>
        <w:br/>
        <w:t>Finally, Great River Greening will create educational materials based on the easement stewardship plans and the benefits that these habitats provide. The outreach material and research results will also be used to create a webpage about the importance of managing conservation easements and restoring prairie and wetland habitat in southern Minnesota.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Prepare first volunteer event site (demonstration site #2) through cedar removal contract</w:t>
            </w:r>
          </w:p>
        </w:tc>
        <w:tc>
          <w:tcPr>
            <w:tcW w:type="dxa" w:w="2160"/>
          </w:tcPr>
          <w:p>
            <w:pPr>
              <w:jc w:val="right"/>
            </w:pPr>
            <w:r>
              <w:rPr>
                <w:sz w:val="20"/>
              </w:rPr>
              <w:t>December 31, 2021</w:t>
            </w:r>
          </w:p>
        </w:tc>
      </w:tr>
      <w:tr>
        <w:tc>
          <w:tcPr>
            <w:tcW w:type="dxa" w:w="8640"/>
          </w:tcPr>
          <w:p>
            <w:r>
              <w:rPr>
                <w:sz w:val="20"/>
              </w:rPr>
              <w:t>Choose three demonstration sites based on feasibility and site evaluations</w:t>
            </w:r>
          </w:p>
        </w:tc>
        <w:tc>
          <w:tcPr>
            <w:tcW w:type="dxa" w:w="2160"/>
          </w:tcPr>
          <w:p>
            <w:pPr>
              <w:jc w:val="right"/>
            </w:pPr>
            <w:r>
              <w:rPr>
                <w:sz w:val="20"/>
              </w:rPr>
              <w:t>August 31, 2022</w:t>
            </w:r>
          </w:p>
        </w:tc>
      </w:tr>
      <w:tr>
        <w:tc>
          <w:tcPr>
            <w:tcW w:type="dxa" w:w="8640"/>
          </w:tcPr>
          <w:p>
            <w:r>
              <w:rPr>
                <w:sz w:val="20"/>
              </w:rPr>
              <w:t>First site tour and demonstration</w:t>
            </w:r>
          </w:p>
        </w:tc>
        <w:tc>
          <w:tcPr>
            <w:tcW w:type="dxa" w:w="2160"/>
          </w:tcPr>
          <w:p>
            <w:pPr>
              <w:jc w:val="right"/>
            </w:pPr>
            <w:r>
              <w:rPr>
                <w:sz w:val="20"/>
              </w:rPr>
              <w:t>October 31, 2022</w:t>
            </w:r>
          </w:p>
        </w:tc>
      </w:tr>
      <w:tr>
        <w:tc>
          <w:tcPr>
            <w:tcW w:type="dxa" w:w="8640"/>
          </w:tcPr>
          <w:p>
            <w:r>
              <w:rPr>
                <w:sz w:val="20"/>
              </w:rPr>
              <w:t>MN Wildlife Society - Present preliminary findings and outreach efforts</w:t>
            </w:r>
          </w:p>
        </w:tc>
        <w:tc>
          <w:tcPr>
            <w:tcW w:type="dxa" w:w="2160"/>
          </w:tcPr>
          <w:p>
            <w:pPr>
              <w:jc w:val="right"/>
            </w:pPr>
            <w:r>
              <w:rPr>
                <w:sz w:val="20"/>
              </w:rPr>
              <w:t>March 31, 2023</w:t>
            </w:r>
          </w:p>
        </w:tc>
      </w:tr>
      <w:tr>
        <w:tc>
          <w:tcPr>
            <w:tcW w:type="dxa" w:w="8640"/>
          </w:tcPr>
          <w:p>
            <w:r>
              <w:rPr>
                <w:sz w:val="20"/>
              </w:rPr>
              <w:t>Create educational material including fact sheets and a webpage based on the easement stewardship plan</w:t>
            </w:r>
          </w:p>
        </w:tc>
        <w:tc>
          <w:tcPr>
            <w:tcW w:type="dxa" w:w="2160"/>
          </w:tcPr>
          <w:p>
            <w:pPr>
              <w:jc w:val="right"/>
            </w:pPr>
            <w:r>
              <w:rPr>
                <w:sz w:val="20"/>
              </w:rPr>
              <w:t>June 30, 2023</w:t>
            </w:r>
          </w:p>
        </w:tc>
      </w:tr>
      <w:tr>
        <w:tc>
          <w:tcPr>
            <w:tcW w:type="dxa" w:w="8640"/>
          </w:tcPr>
          <w:p>
            <w:r>
              <w:rPr>
                <w:sz w:val="20"/>
              </w:rPr>
              <w:t>Host two volunteer events at easement demonstration sites</w:t>
            </w:r>
          </w:p>
        </w:tc>
        <w:tc>
          <w:tcPr>
            <w:tcW w:type="dxa" w:w="2160"/>
          </w:tcPr>
          <w:p>
            <w:pPr>
              <w:jc w:val="right"/>
            </w:pPr>
            <w:r>
              <w:rPr>
                <w:sz w:val="20"/>
              </w:rPr>
              <w:t>June 30, 2023</w:t>
            </w:r>
          </w:p>
        </w:tc>
      </w:tr>
    </w:tbl>
    <w:p/>
    <w:p>
      <w:pPr>
        <w:pStyle w:val="Heading3"/>
        <w:spacing w:after="60"/>
      </w:pPr>
      <w:r>
        <w:rPr>
          <w:b/>
          <w:color w:val="254885"/>
          <w:sz w:val="26"/>
        </w:rPr>
        <w:t>Activity 2: Redwood County easement habitat surveys and stewardship plan development</w:t>
      </w:r>
    </w:p>
    <w:p>
      <w:r>
        <w:rPr>
          <w:b/>
        </w:rPr>
        <w:t xml:space="preserve">Activity Budget: </w:t>
      </w:r>
      <w:r>
        <w:t>$93,250</w:t>
      </w:r>
    </w:p>
    <w:p>
      <w:r>
        <w:rPr>
          <w:b/>
        </w:rPr>
        <w:t xml:space="preserve">Activity Description: </w:t>
        <w:br/>
      </w:r>
      <w:r>
        <w:t>Great River Greening will conduct a baseline evaluation of vegetative quality, pollinator habitat, and soil health. Over 1,000 acres of permanently-protected easements will be surveyed across Redwood County within the Redwood River and Cottonwood River watersheds. The majority of these easements are restored prairie and wetland plant communities have received little to no management, some within floodplains. Vegetation surveys will include timed meanders using the methods from the University of Minnesota Restoration Evaluation Project Vegetation Monitoring Tool and floral areal cover estimates. Pollinator surveys will follow the same meanders while recording butterfly species and bee morphological groups observed. The U of M Bee Lab will train Great River Greening staff in bee morphological group identification and review the survey results. Soil evaluations will include shallow borings to determine soil type and health within the wetland sites.</w:t>
        <w:br/>
        <w:t>The results of the surveys will be used to write a Redwood County Easement Stewardship Plan. The plan will include site descriptions, survey results, and management recommendations for each site and other easements throughout the county. The results will also be used to develop outreach and educational material for the second activity in this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Evaluate current pollinator use of easements</w:t>
            </w:r>
          </w:p>
        </w:tc>
        <w:tc>
          <w:tcPr>
            <w:tcW w:type="dxa" w:w="2160"/>
          </w:tcPr>
          <w:p>
            <w:pPr>
              <w:jc w:val="right"/>
            </w:pPr>
            <w:r>
              <w:rPr>
                <w:sz w:val="20"/>
              </w:rPr>
              <w:t>May 31, 2023</w:t>
            </w:r>
          </w:p>
        </w:tc>
      </w:tr>
      <w:tr>
        <w:tc>
          <w:tcPr>
            <w:tcW w:type="dxa" w:w="8640"/>
          </w:tcPr>
          <w:p>
            <w:r>
              <w:rPr>
                <w:sz w:val="20"/>
              </w:rPr>
              <w:t>Evaluate soil health and restored wetland condition</w:t>
            </w:r>
          </w:p>
        </w:tc>
        <w:tc>
          <w:tcPr>
            <w:tcW w:type="dxa" w:w="2160"/>
          </w:tcPr>
          <w:p>
            <w:pPr>
              <w:jc w:val="right"/>
            </w:pPr>
            <w:r>
              <w:rPr>
                <w:sz w:val="20"/>
              </w:rPr>
              <w:t>May 31, 2023</w:t>
            </w:r>
          </w:p>
        </w:tc>
      </w:tr>
      <w:tr>
        <w:tc>
          <w:tcPr>
            <w:tcW w:type="dxa" w:w="8640"/>
          </w:tcPr>
          <w:p>
            <w:r>
              <w:rPr>
                <w:sz w:val="20"/>
              </w:rPr>
              <w:t>Complete vegetation surveys on easements</w:t>
            </w:r>
          </w:p>
        </w:tc>
        <w:tc>
          <w:tcPr>
            <w:tcW w:type="dxa" w:w="2160"/>
          </w:tcPr>
          <w:p>
            <w:pPr>
              <w:jc w:val="right"/>
            </w:pPr>
            <w:r>
              <w:rPr>
                <w:sz w:val="20"/>
              </w:rPr>
              <w:t>May 31, 2023</w:t>
            </w:r>
          </w:p>
        </w:tc>
      </w:tr>
      <w:tr>
        <w:tc>
          <w:tcPr>
            <w:tcW w:type="dxa" w:w="8640"/>
          </w:tcPr>
          <w:p>
            <w:r>
              <w:rPr>
                <w:sz w:val="20"/>
              </w:rPr>
              <w:t>Develop Redwood County Easement Stewardship Plan</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Brad Gordon</w:t>
            </w:r>
          </w:p>
        </w:tc>
        <w:tc>
          <w:tcPr>
            <w:tcW w:type="dxa" w:w="1440"/>
          </w:tcPr>
          <w:p>
            <w:r>
              <w:rPr>
                <w:sz w:val="20"/>
              </w:rPr>
              <w:t>Great River Greening</w:t>
            </w:r>
          </w:p>
        </w:tc>
        <w:tc>
          <w:tcPr>
            <w:tcW w:type="dxa" w:w="6840"/>
          </w:tcPr>
          <w:p>
            <w:r>
              <w:rPr>
                <w:sz w:val="20"/>
              </w:rPr>
              <w:t>Sub-Award Project Manager - lead vegetation, bee, butterfly, and soil surveys; coordinate volunteer events; develop easement stewardship plan; set up demonstration sites and events</w:t>
            </w:r>
          </w:p>
        </w:tc>
        <w:tc>
          <w:tcPr>
            <w:tcW w:type="dxa" w:w="1080"/>
          </w:tcPr>
          <w:p>
            <w:r>
              <w:rPr>
                <w:sz w:val="20"/>
              </w:rPr>
              <w:t>Yes</w:t>
            </w:r>
          </w:p>
        </w:tc>
      </w:tr>
      <w:tr>
        <w:tc>
          <w:tcPr>
            <w:tcW w:type="dxa" w:w="1440"/>
          </w:tcPr>
          <w:p>
            <w:r>
              <w:rPr>
                <w:sz w:val="20"/>
              </w:rPr>
              <w:t>Dr. Dan Cariveau</w:t>
            </w:r>
          </w:p>
        </w:tc>
        <w:tc>
          <w:tcPr>
            <w:tcW w:type="dxa" w:w="1440"/>
          </w:tcPr>
          <w:p>
            <w:r>
              <w:rPr>
                <w:sz w:val="20"/>
              </w:rPr>
              <w:t>University of Minnesota Bee Laboratory</w:t>
            </w:r>
          </w:p>
        </w:tc>
        <w:tc>
          <w:tcPr>
            <w:tcW w:type="dxa" w:w="6840"/>
          </w:tcPr>
          <w:p>
            <w:r>
              <w:rPr>
                <w:sz w:val="20"/>
              </w:rPr>
              <w:t>Contract project manager - bee survey consulting; bee identification training; stewardship plan review; demonstration event attendance, assistance, and presentation</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We are partnering with Great River Greening on this project from start to finish, thus the organization and dissemination efforts will be a joint effort. There will be a series of demonstrations, site tours, workshops, and volunteer events. These events will take place within Redwood County on conservation easements with participation between SWCD staff, Great River Greening ecologists, DNR Wildlife, and other local, state, and federal partners. We will be demonstrating the surveys taking place on these easements and explain the value of conservation easements (water quality, wildlife and ecological sustainability), along with why and how we manage these habitats. Volunteer-based events will focus on teaching reconstruction and hands-on management techniques on these sites. Volunteers activities may include prairie seeding, wetland plug planting, cedar removal, and assist with soil borings to compare soil profiles and soil health across multiple sites. </w:t>
        <w:br/>
        <w:br/>
        <w:t>Outreach efforts will introduce the general public to the value of the varied habitats in this part of the state and support future easements. Workshops, on-site demonstrations and volunteer days will provide the public an opportunity to learn techniques to properly develop and maintain conservation land. Technical training for easement-holders will allow landowners to better evaluate their easements and conduct, or hire out, development and management activities to increase the quality of their easement.</w:t>
        <w:br/>
        <w:br/>
        <w:t>Finally, Great River Greening will create educational materials based on the easement stewardship plans and the benefits that these habitats provide. These materials will include a separate page on the SWCD website to outline about the history and value of these ecosystems across our landscape, value of conservation easements, and what techniques we use to manage these habitats. The information will include periodic project updates. The page will also include current maps of easements within the county, a summary of this project, and information on management. Handouts will be developed specific to this habitats in this part of the state. This information will be made available to other agencies. We will be announcing trainings and volunteer events in the local media and directly to easement-holders via e-mail and/or mail.</w:t>
        <w:br/>
        <w:br/>
        <w:t>The disseminated materials will acknowledge ENRTF in the following ways:</w:t>
        <w:br/>
        <w:t xml:space="preserve">  Press releases and written articles will include a link to ENRTF (https://www.legacy.mn.gov/environment-natural-resources-trust-fund and provide a brief explanation of </w:t>
        <w:br/>
        <w:t xml:space="preserve">     the source of funding  </w:t>
        <w:br/>
        <w:t xml:space="preserve">  Interviews will acknowledge ENRTF verbally</w:t>
        <w:br/>
        <w:t xml:space="preserve">  The projects' separate page on the Redwood SWCD webpage will explain our source of funding for this project, include a logo, and have a link to ENRTF webpage</w:t>
        <w:br/>
        <w:t xml:space="preserve">  Print and digital summary will include both the logo and language</w:t>
        <w:br/>
        <w:t xml:space="preserve">  Digital presentations will acknowledge ENRTF and have a a logo on the corner of each page</w:t>
        <w:br/>
        <w:t xml:space="preserve">  During events, ENRTF will be acknowledged for providing funding</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comprehensive evaluation of select easements will guide future direction for habitat establishment and management. It will allow Redwood County to prioritize areas for future State and Federal funding aid for enhanced development, management, easement acquisition, and fee-title land acquisitions. Outreach efforts will introduce the general public to the value of prairie-wetland habitats and support future easements. Workshops, on-site demonstrations and volunteer days will provide the public an opportunity to learn techniques to properly develop and maintain conservation land. Technical training for landowners will allow them better evaluate their easements and conduct, or hire out, development and management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Conservation Specialist</w:t>
            </w:r>
          </w:p>
        </w:tc>
        <w:tc>
          <w:tcPr>
            <w:tcW w:type="dxa" w:w="1440"/>
          </w:tcPr>
          <w:p>
            <w:r>
              <w:rPr>
                <w:sz w:val="20"/>
              </w:rPr>
            </w:r>
          </w:p>
        </w:tc>
        <w:tc>
          <w:tcPr>
            <w:tcW w:type="dxa" w:w="5472"/>
          </w:tcPr>
          <w:p>
            <w:r>
              <w:rPr>
                <w:sz w:val="20"/>
              </w:rPr>
              <w:t>Coordinate with Great River Greening, easement-holder agreements, on-site assistance, and outreach</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$24,500</w:t>
            </w:r>
          </w:p>
        </w:tc>
      </w:tr>
      <w:tr>
        <w:tc>
          <w:tcPr>
            <w:tcW w:type="dxa" w:w="864"/>
          </w:tcPr>
          <w:p>
            <w:r>
              <w:rPr>
                <w:sz w:val="20"/>
              </w:rPr>
              <w:t>Deputy District Administrator</w:t>
            </w:r>
          </w:p>
        </w:tc>
        <w:tc>
          <w:tcPr>
            <w:tcW w:type="dxa" w:w="1440"/>
          </w:tcPr>
          <w:p>
            <w:r>
              <w:rPr>
                <w:sz w:val="20"/>
              </w:rPr>
            </w:r>
          </w:p>
        </w:tc>
        <w:tc>
          <w:tcPr>
            <w:tcW w:type="dxa" w:w="5472"/>
          </w:tcPr>
          <w:p>
            <w:r>
              <w:rPr>
                <w:sz w:val="20"/>
              </w:rPr>
              <w:t>Reporting, Budget, and Financial Responsibilities</w:t>
            </w:r>
          </w:p>
        </w:tc>
        <w:tc>
          <w:tcPr>
            <w:tcW w:type="dxa" w:w="4032"/>
          </w:tcPr>
          <w:p>
            <w:r>
              <w:rPr>
                <w:sz w:val="20"/>
              </w:rPr>
            </w:r>
          </w:p>
        </w:tc>
        <w:tc>
          <w:tcPr>
            <w:tcW w:type="dxa" w:w="360"/>
          </w:tcPr>
          <w:p>
            <w:r>
              <w:rPr>
                <w:sz w:val="20"/>
              </w:rPr>
            </w:r>
          </w:p>
        </w:tc>
        <w:tc>
          <w:tcPr>
            <w:tcW w:type="dxa" w:w="360"/>
          </w:tcPr>
          <w:p>
            <w:pPr>
              <w:jc w:val="right"/>
            </w:pPr>
            <w:r>
              <w:rPr>
                <w:sz w:val="20"/>
              </w:rPr>
              <w:t>39%</w:t>
            </w:r>
          </w:p>
        </w:tc>
        <w:tc>
          <w:tcPr>
            <w:tcW w:type="dxa" w:w="360"/>
          </w:tcPr>
          <w:p>
            <w:pPr>
              <w:jc w:val="right"/>
            </w:pPr>
            <w:r>
              <w:rPr>
                <w:sz w:val="20"/>
              </w:rPr>
              <w:t>0.14</w:t>
            </w:r>
          </w:p>
        </w:tc>
        <w:tc>
          <w:tcPr>
            <w:tcW w:type="dxa" w:w="360"/>
          </w:tcPr>
          <w:p>
            <w:r>
              <w:rPr>
                <w:sz w:val="20"/>
              </w:rPr>
            </w:r>
          </w:p>
        </w:tc>
        <w:tc>
          <w:tcPr>
            <w:tcW w:type="dxa" w:w="1152"/>
          </w:tcPr>
          <w:p>
            <w:pPr>
              <w:jc w:val="right"/>
            </w:pPr>
            <w:r>
              <w:rPr>
                <w:sz w:val="20"/>
              </w:rPr>
              <w:t>$8,500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Tree Clearing sub-contract following state competitive RFP requirements</w:t>
            </w:r>
          </w:p>
        </w:tc>
        <w:tc>
          <w:tcPr>
            <w:tcW w:type="dxa" w:w="1440"/>
          </w:tcPr>
          <w:p>
            <w:r>
              <w:rPr>
                <w:sz w:val="20"/>
              </w:rPr>
              <w:t>Professional or Technical Service Contract</w:t>
            </w:r>
          </w:p>
        </w:tc>
        <w:tc>
          <w:tcPr>
            <w:tcW w:type="dxa" w:w="5472"/>
          </w:tcPr>
          <w:p>
            <w:r>
              <w:rPr>
                <w:sz w:val="20"/>
              </w:rPr>
              <w:t>We plan to conduct tree removal on one easement to demonstrate the benefits of woody vegetation control as a critical component of prairie management. This will be conducted in 2021. This site will be host for the woody vegetation control field day in 2022.</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0.05</w:t>
            </w:r>
          </w:p>
        </w:tc>
        <w:tc>
          <w:tcPr>
            <w:tcW w:type="dxa" w:w="360"/>
          </w:tcPr>
          <w:p>
            <w:r>
              <w:rPr>
                <w:sz w:val="20"/>
              </w:rPr>
            </w:r>
          </w:p>
        </w:tc>
        <w:tc>
          <w:tcPr>
            <w:tcW w:type="dxa" w:w="1152"/>
          </w:tcPr>
          <w:p>
            <w:pPr>
              <w:jc w:val="right"/>
            </w:pPr>
            <w:r>
              <w:rPr>
                <w:sz w:val="20"/>
              </w:rPr>
              <w:t>$10,000</w:t>
            </w:r>
          </w:p>
        </w:tc>
      </w:tr>
      <w:tr>
        <w:tc>
          <w:tcPr>
            <w:tcW w:type="dxa" w:w="864"/>
          </w:tcPr>
          <w:p>
            <w:r>
              <w:rPr>
                <w:sz w:val="20"/>
              </w:rPr>
              <w:t>University of Minnesota Bee Lab</w:t>
            </w:r>
          </w:p>
        </w:tc>
        <w:tc>
          <w:tcPr>
            <w:tcW w:type="dxa" w:w="1440"/>
          </w:tcPr>
          <w:p>
            <w:r>
              <w:rPr>
                <w:sz w:val="20"/>
              </w:rPr>
              <w:t>Professional or Technical Service Contract</w:t>
            </w:r>
          </w:p>
        </w:tc>
        <w:tc>
          <w:tcPr>
            <w:tcW w:type="dxa" w:w="5472"/>
          </w:tcPr>
          <w:p>
            <w:r>
              <w:rPr>
                <w:sz w:val="20"/>
              </w:rPr>
              <w:t>The Bee Lab will provide consultation through training other members of this project on bee morpho-group identification and reviewing results for the county easement management report. They have a unique expertise in pollinator identification and have research plots adjacent to some of the easements.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0.06</w:t>
            </w:r>
          </w:p>
        </w:tc>
        <w:tc>
          <w:tcPr>
            <w:tcW w:type="dxa" w:w="360"/>
          </w:tcPr>
          <w:p>
            <w:r>
              <w:rPr>
                <w:sz w:val="20"/>
              </w:rPr>
            </w:r>
          </w:p>
        </w:tc>
        <w:tc>
          <w:tcPr>
            <w:tcW w:type="dxa" w:w="1152"/>
          </w:tcPr>
          <w:p>
            <w:pPr>
              <w:jc w:val="right"/>
            </w:pPr>
            <w:r>
              <w:rPr>
                <w:sz w:val="20"/>
              </w:rPr>
              <w:t>$3,000</w:t>
            </w:r>
          </w:p>
        </w:tc>
      </w:tr>
      <w:tr>
        <w:tc>
          <w:tcPr>
            <w:tcW w:type="dxa" w:w="864"/>
          </w:tcPr>
          <w:p>
            <w:r>
              <w:rPr>
                <w:sz w:val="20"/>
              </w:rPr>
              <w:t>Great River Greening</w:t>
            </w:r>
          </w:p>
        </w:tc>
        <w:tc>
          <w:tcPr>
            <w:tcW w:type="dxa" w:w="1440"/>
          </w:tcPr>
          <w:p>
            <w:r>
              <w:rPr>
                <w:sz w:val="20"/>
              </w:rPr>
              <w:t>Sub award</w:t>
            </w:r>
          </w:p>
        </w:tc>
        <w:tc>
          <w:tcPr>
            <w:tcW w:type="dxa" w:w="5472"/>
          </w:tcPr>
          <w:p>
            <w:r>
              <w:rPr>
                <w:sz w:val="20"/>
              </w:rPr>
              <w:t>Survey vegetation, pollinators, and soil on easements; develop Redwood County Easement Stewardship Plan; setup demonstration sites and volunteer events; lead outreach and material development. Funds for personnel, travel, mileage, supplies, and other: volunteer event expenses include handouts, displays, healthy food/beverages, and toilet/tent rental.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2.12</w:t>
            </w:r>
          </w:p>
        </w:tc>
        <w:tc>
          <w:tcPr>
            <w:tcW w:type="dxa" w:w="360"/>
          </w:tcPr>
          <w:p>
            <w:r>
              <w:rPr>
                <w:sz w:val="20"/>
              </w:rPr>
            </w:r>
          </w:p>
        </w:tc>
        <w:tc>
          <w:tcPr>
            <w:tcW w:type="dxa" w:w="1152"/>
          </w:tcPr>
          <w:p>
            <w:pPr>
              <w:jc w:val="right"/>
            </w:pPr>
            <w:r>
              <w:rPr>
                <w:sz w:val="20"/>
              </w:rPr>
              <w:t>$146,500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$159,500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MN Wildlife Society &amp; Midwest Fish &amp; Wildlife Conference - 1 person, 1 trip each, registration fees, food, est. 1,500 mi (2023 - MN TWS location TBA, MFWC in Kansas; 1 night for TWS and 3 nights for MFWC)</w:t>
            </w:r>
          </w:p>
        </w:tc>
        <w:tc>
          <w:tcPr>
            <w:tcW w:type="dxa" w:w="4032"/>
          </w:tcPr>
          <w:p>
            <w:r>
              <w:rPr>
                <w:sz w:val="20"/>
              </w:rPr>
              <w:t>Professional Presentation on Project Summary and Recommendations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Report of Findings</w:t>
            </w:r>
          </w:p>
        </w:tc>
        <w:tc>
          <w:tcPr>
            <w:tcW w:type="dxa" w:w="4032"/>
          </w:tcPr>
          <w:p>
            <w:r>
              <w:rPr>
                <w:sz w:val="20"/>
              </w:rPr>
              <w:t>Send report and explanation of outcomes to landowners, conservation groups, other regional land management agencies, and funding partners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$2,900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$2,900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MN Wildlife Society &amp; Midwest Fish &amp; Wildlife Conference - 1 person, 1 trip each, registration fees, food, est. 1,500 mi (2023 - MN TWS location TBA, MFWC in Kansas; 1 night for TWS and 3 nights for MFWC)</w:t>
            </w:r>
          </w:p>
        </w:tc>
        <w:tc>
          <w:tcPr>
            <w:tcW w:type="dxa" w:w="7560"/>
          </w:tcPr>
          <w:p>
            <w:r>
              <w:rPr>
                <w:sz w:val="20"/>
              </w:rPr>
              <w:t>I will present our project by explaining the evaluation of baseline easement condition and provide recommendation for development and management recommendations. I will also discuss the landowner training efforts and how it has led, or will lead, to landowners taking ownership in their own management and will make funds and effort spent on these easements a better long-term investment and benefit for our landscape. I will describe how these efforts can be implemented across various landscapes on both private and public lands. This will be presented in 2023 at the Annual Minnesota Wildlife Society meeting and Midwest Fish &amp; Wildlife Conference in Kansas.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BWSR - RIM Easements Grant</w:t>
            </w:r>
          </w:p>
        </w:tc>
        <w:tc>
          <w:tcPr>
            <w:tcW w:type="dxa" w:w="6120"/>
          </w:tcPr>
          <w:p>
            <w:r>
              <w:rPr>
                <w:sz w:val="20"/>
              </w:rPr>
              <w:t>Fund intern to assist GRG surveys and outreach efforts.</w:t>
            </w:r>
          </w:p>
        </w:tc>
        <w:tc>
          <w:tcPr>
            <w:tcW w:type="dxa" w:w="1080"/>
          </w:tcPr>
          <w:p>
            <w:r>
              <w:rPr>
                <w:sz w:val="20"/>
              </w:rPr>
              <w:t>Pending</w:t>
            </w:r>
          </w:p>
        </w:tc>
        <w:tc>
          <w:tcPr>
            <w:tcW w:type="dxa" w:w="1440"/>
          </w:tcPr>
          <w:p>
            <w:pPr>
              <w:jc w:val="right"/>
            </w:pPr>
            <w:r>
              <w:rPr>
                <w:sz w:val="20"/>
              </w:rPr>
              <w:t>$1,000</w:t>
            </w:r>
          </w:p>
        </w:tc>
      </w:tr>
      <w:tr>
        <w:tc>
          <w:tcPr>
            <w:tcW w:type="dxa" w:w="1080"/>
          </w:tcPr>
          <w:p>
            <w:r>
              <w:rPr>
                <w:sz w:val="20"/>
              </w:rPr>
              <w:t>In-Kind</w:t>
            </w:r>
          </w:p>
        </w:tc>
        <w:tc>
          <w:tcPr>
            <w:tcW w:type="dxa" w:w="4680"/>
          </w:tcPr>
          <w:p>
            <w:r>
              <w:rPr>
                <w:sz w:val="20"/>
              </w:rPr>
              <w:t>CREP Implementation and Outreach Funds - Bonding</w:t>
            </w:r>
          </w:p>
        </w:tc>
        <w:tc>
          <w:tcPr>
            <w:tcW w:type="dxa" w:w="6120"/>
          </w:tcPr>
          <w:p>
            <w:r>
              <w:rPr>
                <w:sz w:val="20"/>
              </w:rPr>
              <w:t>Conservation Specialist will utilize this information to implement conservation practices with new and existing easement-holders.</w:t>
            </w:r>
          </w:p>
        </w:tc>
        <w:tc>
          <w:tcPr>
            <w:tcW w:type="dxa" w:w="1080"/>
          </w:tcPr>
          <w:p>
            <w:r>
              <w:rPr>
                <w:sz w:val="20"/>
              </w:rPr>
              <w:t>Secured</w:t>
            </w:r>
          </w:p>
        </w:tc>
        <w:tc>
          <w:tcPr>
            <w:tcW w:type="dxa" w:w="1440"/>
          </w:tcPr>
          <w:p>
            <w:pPr>
              <w:jc w:val="right"/>
            </w:pPr>
            <w:r>
              <w:rPr>
                <w:sz w:val="20"/>
              </w:rPr>
              <w:t>$2,000</w:t>
            </w:r>
          </w:p>
        </w:tc>
      </w:tr>
      <w:tr>
        <w:tc>
          <w:tcPr>
            <w:tcW w:type="dxa" w:w="1080"/>
          </w:tcPr>
          <w:p>
            <w:r>
              <w:rPr>
                <w:sz w:val="20"/>
              </w:rPr>
              <w:t>In-Kind</w:t>
            </w:r>
          </w:p>
        </w:tc>
        <w:tc>
          <w:tcPr>
            <w:tcW w:type="dxa" w:w="4680"/>
          </w:tcPr>
          <w:p>
            <w:r>
              <w:rPr>
                <w:sz w:val="20"/>
              </w:rPr>
              <w:t>MN DNR - Interagency Technical Assistance</w:t>
            </w:r>
          </w:p>
        </w:tc>
        <w:tc>
          <w:tcPr>
            <w:tcW w:type="dxa" w:w="6120"/>
          </w:tcPr>
          <w:p>
            <w:r>
              <w:rPr>
                <w:sz w:val="20"/>
              </w:rPr>
              <w:t>Aid in outreach efforts and assist in developing management recommendations.</w:t>
            </w:r>
          </w:p>
        </w:tc>
        <w:tc>
          <w:tcPr>
            <w:tcW w:type="dxa" w:w="1080"/>
          </w:tcPr>
          <w:p>
            <w:r>
              <w:rPr>
                <w:sz w:val="20"/>
              </w:rPr>
              <w:t>Secured</w:t>
            </w:r>
          </w:p>
        </w:tc>
        <w:tc>
          <w:tcPr>
            <w:tcW w:type="dxa" w:w="1440"/>
          </w:tcPr>
          <w:p>
            <w:pPr>
              <w:jc w:val="right"/>
            </w:pPr>
            <w:r>
              <w:rPr>
                <w:sz w:val="20"/>
              </w:rPr>
              <w:t>$1,500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$4,500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USFWS</w:t>
            </w:r>
          </w:p>
        </w:tc>
        <w:tc>
          <w:tcPr>
            <w:tcW w:type="dxa" w:w="6120"/>
          </w:tcPr>
          <w:p>
            <w:r>
              <w:rPr>
                <w:sz w:val="20"/>
              </w:rPr>
              <w:t>Seed will be purchased for one of the volunteer events. USFWS will develop USFWS Partners for Fish and Wildlife Agreements.</w:t>
            </w:r>
          </w:p>
        </w:tc>
        <w:tc>
          <w:tcPr>
            <w:tcW w:type="dxa" w:w="1080"/>
          </w:tcPr>
          <w:p>
            <w:r>
              <w:rPr>
                <w:sz w:val="20"/>
              </w:rPr>
              <w:t>Pending</w:t>
            </w:r>
          </w:p>
        </w:tc>
        <w:tc>
          <w:tcPr>
            <w:tcW w:type="dxa" w:w="1440"/>
          </w:tcPr>
          <w:p>
            <w:pPr>
              <w:jc w:val="right"/>
            </w:pPr>
            <w:r>
              <w:rPr>
                <w:sz w:val="20"/>
              </w:rPr>
              <w:t>$5,500</w:t>
            </w:r>
          </w:p>
        </w:tc>
      </w:tr>
      <w:tr>
        <w:tc>
          <w:tcPr>
            <w:tcW w:type="dxa" w:w="1080"/>
          </w:tcPr>
          <w:p>
            <w:r>
              <w:rPr>
                <w:sz w:val="20"/>
              </w:rPr>
              <w:t>In-Kind</w:t>
            </w:r>
          </w:p>
        </w:tc>
        <w:tc>
          <w:tcPr>
            <w:tcW w:type="dxa" w:w="4680"/>
          </w:tcPr>
          <w:p>
            <w:r>
              <w:rPr>
                <w:sz w:val="20"/>
              </w:rPr>
              <w:t>General support funds (foundations, corporations, private donations)</w:t>
            </w:r>
          </w:p>
        </w:tc>
        <w:tc>
          <w:tcPr>
            <w:tcW w:type="dxa" w:w="6120"/>
          </w:tcPr>
          <w:p>
            <w:r>
              <w:rPr>
                <w:sz w:val="20"/>
              </w:rPr>
              <w:t>GRG overhead costs covered by General Operating Support</w:t>
            </w:r>
          </w:p>
        </w:tc>
        <w:tc>
          <w:tcPr>
            <w:tcW w:type="dxa" w:w="1080"/>
          </w:tcPr>
          <w:p>
            <w:r>
              <w:rPr>
                <w:sz w:val="20"/>
              </w:rPr>
              <w:t>Potential</w:t>
            </w:r>
          </w:p>
        </w:tc>
        <w:tc>
          <w:tcPr>
            <w:tcW w:type="dxa" w:w="1440"/>
          </w:tcPr>
          <w:p>
            <w:pPr>
              <w:jc w:val="right"/>
            </w:pPr>
            <w:r>
              <w:rPr>
                <w:sz w:val="20"/>
              </w:rPr>
              <w:t>$30,000</w:t>
            </w:r>
          </w:p>
        </w:tc>
      </w:tr>
      <w:tr>
        <w:tc>
          <w:tcPr>
            <w:tcW w:type="dxa" w:w="1080"/>
          </w:tcPr>
          <w:p>
            <w:r>
              <w:rPr>
                <w:sz w:val="20"/>
              </w:rPr>
              <w:t>In-Kind</w:t>
            </w:r>
          </w:p>
        </w:tc>
        <w:tc>
          <w:tcPr>
            <w:tcW w:type="dxa" w:w="4680"/>
          </w:tcPr>
          <w:p>
            <w:r>
              <w:rPr>
                <w:sz w:val="20"/>
              </w:rPr>
              <w:t>Total of 750 volunteer hours at $24/hr (MN-DNR NCLI posted rate)</w:t>
            </w:r>
          </w:p>
        </w:tc>
        <w:tc>
          <w:tcPr>
            <w:tcW w:type="dxa" w:w="6120"/>
          </w:tcPr>
          <w:p>
            <w:r>
              <w:rPr>
                <w:sz w:val="20"/>
              </w:rPr>
              <w:t>Activity 2: seeding, wetland planting, cedar removal</w:t>
            </w:r>
          </w:p>
        </w:tc>
        <w:tc>
          <w:tcPr>
            <w:tcW w:type="dxa" w:w="1080"/>
          </w:tcPr>
          <w:p>
            <w:r>
              <w:rPr>
                <w:sz w:val="20"/>
              </w:rPr>
              <w:t>Potential</w:t>
            </w:r>
          </w:p>
        </w:tc>
        <w:tc>
          <w:tcPr>
            <w:tcW w:type="dxa" w:w="1440"/>
          </w:tcPr>
          <w:p>
            <w:pPr>
              <w:jc w:val="right"/>
            </w:pPr>
            <w:r>
              <w:rPr>
                <w:sz w:val="20"/>
              </w:rPr>
              <w:t>$18,000</w:t>
            </w:r>
          </w:p>
        </w:tc>
      </w:tr>
      <w:tr>
        <w:tc>
          <w:tcPr>
            <w:tcW w:type="dxa" w:w="1080"/>
          </w:tcPr>
          <w:p>
            <w:r>
              <w:rPr>
                <w:sz w:val="20"/>
              </w:rPr>
              <w:t>In-Kind</w:t>
            </w:r>
          </w:p>
        </w:tc>
        <w:tc>
          <w:tcPr>
            <w:tcW w:type="dxa" w:w="4680"/>
          </w:tcPr>
          <w:p>
            <w:r>
              <w:rPr>
                <w:sz w:val="20"/>
              </w:rPr>
              <w:t>Equipment, tools, and supplies usage and degradation</w:t>
            </w:r>
          </w:p>
        </w:tc>
        <w:tc>
          <w:tcPr>
            <w:tcW w:type="dxa" w:w="6120"/>
          </w:tcPr>
          <w:p>
            <w:r>
              <w:rPr>
                <w:sz w:val="20"/>
              </w:rPr>
              <w:t>Activity 1 &amp; 2: tablets, augers, shovels, spades, loppers, and other equipment for conducting vegetation and soil surveys and seeding, planting, and tree cutting at demonstration and volunteer events.</w:t>
            </w:r>
          </w:p>
        </w:tc>
        <w:tc>
          <w:tcPr>
            <w:tcW w:type="dxa" w:w="1080"/>
          </w:tcPr>
          <w:p>
            <w:r>
              <w:rPr>
                <w:sz w:val="20"/>
              </w:rPr>
              <w:t>Secured</w:t>
            </w:r>
          </w:p>
        </w:tc>
        <w:tc>
          <w:tcPr>
            <w:tcW w:type="dxa" w:w="1440"/>
          </w:tcPr>
          <w:p>
            <w:pPr>
              <w:jc w:val="right"/>
            </w:pPr>
            <w:r>
              <w:rPr>
                <w:sz w:val="20"/>
              </w:rPr>
              <w:t>$5,000</w:t>
            </w:r>
          </w:p>
        </w:tc>
      </w:tr>
      <w:tr>
        <w:tc>
          <w:tcPr>
            <w:tcW w:type="dxa" w:w="1080"/>
          </w:tcPr>
          <w:p>
            <w:r>
              <w:rPr>
                <w:sz w:val="20"/>
              </w:rPr>
              <w:t>In-Kind</w:t>
            </w:r>
          </w:p>
        </w:tc>
        <w:tc>
          <w:tcPr>
            <w:tcW w:type="dxa" w:w="4680"/>
          </w:tcPr>
          <w:p>
            <w:r>
              <w:rPr>
                <w:sz w:val="20"/>
              </w:rPr>
              <w:t>Redwood SWCD - General Operating Budget</w:t>
            </w:r>
          </w:p>
        </w:tc>
        <w:tc>
          <w:tcPr>
            <w:tcW w:type="dxa" w:w="6120"/>
          </w:tcPr>
          <w:p>
            <w:r>
              <w:rPr>
                <w:sz w:val="20"/>
              </w:rPr>
              <w:t>SWCD overhead costs</w:t>
            </w:r>
          </w:p>
        </w:tc>
        <w:tc>
          <w:tcPr>
            <w:tcW w:type="dxa" w:w="1080"/>
          </w:tcPr>
          <w:p>
            <w:r>
              <w:rPr>
                <w:sz w:val="20"/>
              </w:rPr>
              <w:t>Secured</w:t>
            </w:r>
          </w:p>
        </w:tc>
        <w:tc>
          <w:tcPr>
            <w:tcW w:type="dxa" w:w="1440"/>
          </w:tcPr>
          <w:p>
            <w:pPr>
              <w:jc w:val="right"/>
            </w:pPr>
            <w:r>
              <w:rPr>
                <w:sz w:val="20"/>
              </w:rPr>
              <w:t>$5,000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$63,500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$68,000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348cf062-df4.pdf</w:t>
          </w:r>
        </w:hyperlink>
      </w:r>
    </w:p>
    <w:p>
      <w:pPr>
        <w:pStyle w:val="Heading4"/>
        <w:spacing w:before="40" w:after="20"/>
      </w:pPr>
      <w:r>
        <w:rPr>
          <w:b/>
          <w:i/>
          <w:color w:val="000000"/>
          <w:sz w:val="24"/>
        </w:rPr>
        <w:t>Alternate Text for Visual Component</w:t>
      </w:r>
    </w:p>
    <w:p>
      <w:r>
        <w:t>Attached is a map of the RIM easements in Redwood County and the associated list of potential evaluation and outreach sites. The map shows all the easements and denotes which ones will be drawn upon for site evaluation and on-site outreach activities. The selected sites are larger easements from across the county with varying habitat types (e.g., grasslands, wetland restorations, floodplains, rock outcrops).  The enrollment date range for these easements is 1988 - 2018....</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GRG Board Resolution</w:t>
            </w:r>
          </w:p>
        </w:tc>
        <w:tc>
          <w:tcPr>
            <w:tcW w:type="dxa" w:w="5400"/>
          </w:tcPr>
          <w:p>
            <w:r>
              <w:rPr>
                <w:sz w:val="20"/>
              </w:rPr>
            </w:r>
            <w:r>
              <w:rPr>
                <w:color w:val="000000" w:themeColor="hyperlink"/>
                <w:sz w:val="20"/>
                <w:u w:val="single"/>
              </w:rPr>
              <w:hyperlink r:id="rId18">
                <w:r>
                  <w:rPr/>
                  <w:t>245d972b-1d5.pdf</w:t>
                </w:r>
              </w:hyperlink>
            </w:r>
          </w:p>
        </w:tc>
      </w:tr>
      <w:tr>
        <w:tc>
          <w:tcPr>
            <w:tcW w:type="dxa" w:w="5400"/>
          </w:tcPr>
          <w:p>
            <w:r>
              <w:rPr>
                <w:sz w:val="20"/>
              </w:rPr>
              <w:t>Redwood SWCD Board Resolution Letter</w:t>
            </w:r>
          </w:p>
        </w:tc>
        <w:tc>
          <w:tcPr>
            <w:tcW w:type="dxa" w:w="5400"/>
          </w:tcPr>
          <w:p>
            <w:r>
              <w:rPr>
                <w:sz w:val="20"/>
              </w:rPr>
            </w:r>
            <w:r>
              <w:rPr>
                <w:color w:val="000000" w:themeColor="hyperlink"/>
                <w:sz w:val="20"/>
                <w:u w:val="single"/>
              </w:rPr>
              <w:hyperlink r:id="rId19">
                <w:r>
                  <w:rPr/>
                  <w:t>4b1e9e45-727.pdf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USFWS Letter of Support</w:t>
            </w:r>
          </w:p>
        </w:tc>
        <w:tc>
          <w:tcPr>
            <w:tcW w:type="dxa" w:w="5400"/>
          </w:tcPr>
          <w:p>
            <w:r>
              <w:rPr>
                <w:sz w:val="20"/>
              </w:rPr>
            </w:r>
            <w:r>
              <w:rPr>
                <w:color w:val="000000" w:themeColor="hyperlink"/>
                <w:sz w:val="20"/>
                <w:u w:val="single"/>
              </w:rPr>
              <w:hyperlink r:id="rId20">
                <w:r>
                  <w:rPr/>
                  <w:t>a0f0a6f7-81a.pdf</w:t>
                </w:r>
              </w:hyperlink>
            </w:r>
          </w:p>
        </w:tc>
      </w:tr>
      <w:tr>
        <w:tc>
          <w:tcPr>
            <w:tcW w:type="dxa" w:w="5400"/>
          </w:tcPr>
          <w:p>
            <w:r>
              <w:rPr>
                <w:sz w:val="20"/>
              </w:rPr>
              <w:t>Redwood Pheasants Forever Letter of Support</w:t>
            </w:r>
          </w:p>
        </w:tc>
        <w:tc>
          <w:tcPr>
            <w:tcW w:type="dxa" w:w="5400"/>
          </w:tcPr>
          <w:p>
            <w:r>
              <w:rPr>
                <w:sz w:val="20"/>
              </w:rPr>
            </w:r>
            <w:r>
              <w:rPr>
                <w:color w:val="000000" w:themeColor="hyperlink"/>
                <w:sz w:val="20"/>
                <w:u w:val="single"/>
              </w:rPr>
              <w:hyperlink r:id="rId21">
                <w:r>
                  <w:rPr/>
                  <w:t>8a18b4dd-712.pdf</w:t>
                </w:r>
              </w:hyperlink>
            </w:r>
          </w:p>
        </w:tc>
      </w:tr>
      <w:tr>
        <w:tc>
          <w:tcPr>
            <w:tcW w:type="dxa" w:w="5400"/>
          </w:tcPr>
          <w:p>
            <w:r>
              <w:rPr>
                <w:sz w:val="20"/>
              </w:rPr>
              <w:t>Background Check Certification</w:t>
            </w:r>
          </w:p>
        </w:tc>
        <w:tc>
          <w:tcPr>
            <w:tcW w:type="dxa" w:w="5400"/>
          </w:tcPr>
          <w:p>
            <w:r>
              <w:rPr>
                <w:sz w:val="20"/>
              </w:rPr>
            </w:r>
            <w:r>
              <w:rPr>
                <w:color w:val="000000" w:themeColor="hyperlink"/>
                <w:sz w:val="20"/>
                <w:u w:val="single"/>
              </w:rPr>
              <w:hyperlink r:id="rId22">
                <w:r>
                  <w:rPr/>
                  <w:t>98db97da-d4b.pdf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Being that we were funded at 100% of our request, we don't intend to make any changes from the initial proposal.</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Yes,  Redwood County</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48cf062-df4.pdf" TargetMode="External"/><Relationship Id="rId18" Type="http://schemas.openxmlformats.org/officeDocument/2006/relationships/hyperlink" Target="https://lccmrprojectmgmt.leg.mn/media/attachments/245d972b-1d5.pdf" TargetMode="External"/><Relationship Id="rId19" Type="http://schemas.openxmlformats.org/officeDocument/2006/relationships/hyperlink" Target="https://lccmrprojectmgmt.leg.mn/media/attachments/4b1e9e45-727.pdf" TargetMode="External"/><Relationship Id="rId20" Type="http://schemas.openxmlformats.org/officeDocument/2006/relationships/hyperlink" Target="https://lccmrprojectmgmt.leg.mn/media/attachments/a0f0a6f7-81a.pdf" TargetMode="External"/><Relationship Id="rId21" Type="http://schemas.openxmlformats.org/officeDocument/2006/relationships/hyperlink" Target="https://lccmrprojectmgmt.leg.mn/media/attachments/8a18b4dd-712.pdf" TargetMode="External"/><Relationship Id="rId22" Type="http://schemas.openxmlformats.org/officeDocument/2006/relationships/hyperlink" Target="https://lccmrprojectmgmt.leg.mn/media/attachments/98db97da-d4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Redwood County Rim Easement Evaluation And Public Outreach</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