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2021-022</w:t>
      </w:r>
    </w:p>
    <w:p>
      <w:r>
        <w:rPr>
          <w:b/>
        </w:rPr>
        <w:t xml:space="preserve">Staff Lead: </w:t>
      </w:r>
      <w:r>
        <w:t>Michael Varien</w:t>
      </w:r>
    </w:p>
    <w:p>
      <w:r>
        <w:rPr>
          <w:b/>
        </w:rPr>
        <w:t xml:space="preserve">Date this document submitted to LCCMR: </w:t>
      </w:r>
      <w:r>
        <w:t>July 21, 2021</w:t>
      </w:r>
    </w:p>
    <w:p>
      <w:r>
        <w:rPr>
          <w:b/>
        </w:rPr>
        <w:t xml:space="preserve">Project Title: </w:t>
      </w:r>
      <w:r>
        <w:t>Camp Ripley Sentinel Landscape Forest Restoration And Enhancements</w:t>
      </w:r>
    </w:p>
    <w:p>
      <w:r>
        <w:rPr>
          <w:b/>
        </w:rPr>
        <w:t xml:space="preserve">Project Budget: </w:t>
      </w:r>
      <w:r>
        <w:t>$731,000</w:t>
      </w:r>
    </w:p>
    <w:p/>
    <w:p>
      <w:pPr>
        <w:pStyle w:val="Heading2"/>
        <w:spacing w:before="0" w:after="80"/>
      </w:pPr>
      <w:r>
        <w:rPr>
          <w:b/>
          <w:color w:val="2C559C"/>
          <w:sz w:val="28"/>
        </w:rPr>
        <w:t>Project Manager Information</w:t>
      </w:r>
    </w:p>
    <w:p>
      <w:r>
        <w:rPr>
          <w:b/>
        </w:rPr>
        <w:t xml:space="preserve">Name: </w:t>
      </w:r>
      <w:r>
        <w:t>Melissa Barrick</w:t>
      </w:r>
    </w:p>
    <w:p>
      <w:r>
        <w:rPr>
          <w:b/>
        </w:rPr>
        <w:t xml:space="preserve">Organization: </w:t>
      </w:r>
      <w:r>
        <w:t>Crow Wing Soil and Water Conservation District</w:t>
      </w:r>
    </w:p>
    <w:p>
      <w:r>
        <w:rPr>
          <w:b/>
        </w:rPr>
        <w:t xml:space="preserve">Office Telephone: </w:t>
      </w:r>
      <w:r>
        <w:t>(218) 828-6197</w:t>
      </w:r>
    </w:p>
    <w:p>
      <w:r>
        <w:rPr>
          <w:b/>
        </w:rPr>
        <w:t xml:space="preserve">Email: </w:t>
      </w:r>
      <w:r>
        <w:t>melissa@cwswcd.org</w:t>
      </w:r>
    </w:p>
    <w:p>
      <w:r>
        <w:rPr>
          <w:b/>
        </w:rPr>
        <w:t xml:space="preserve">Web Address: </w:t>
      </w:r>
      <w:r>
        <w:t>https://www.cwswcd.org</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February  1</w:t>
      </w:r>
      <w:r>
        <w:t xml:space="preserve"> / </w:t>
      </w:r>
      <w:r>
        <w:t>August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08a</w:t>
      </w:r>
    </w:p>
    <w:p>
      <w:r>
        <w:rPr>
          <w:b/>
        </w:rPr>
        <w:t xml:space="preserve">Appropriation Language: </w:t>
      </w:r>
      <w:r>
        <w:t>$731,000 the first year is from the trust fund to the commissioner of natural resources for an agreement with the Crow Wing Soil and Water Conservation District to partner with the Nature Conservancy and Great River Greening to develop forest stewardship plans, restore habitat, and conduct prescribed burns to advance forest restoration and enhancement on public and private lands within an approximate ten-mile radius around Camp Ripley. Notwithstanding subdivision 13, paragraph (e), this appropriation may be spent on forest management plans, fires, and restoration on lands with a long-term contract commitment for forest conservation. The restoration must follow the Board of Water and Soil Resources' native vegetation establishment and enhancement guidelines.</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 xml:space="preserve">This project will build a sustainable inter-agency private and public Camp Ripley landscape forest restoration program which includes: </w:t>
        <w:br/>
        <w:tab/>
        <w:t>Prescribed Fire (550 acres)</w:t>
        <w:br/>
        <w:tab/>
        <w:t>Habitat Restoration (90 acres)</w:t>
        <w:br/>
        <w:tab/>
        <w:t>Forest Management Plans (65)</w:t>
      </w:r>
    </w:p>
    <w:p>
      <w:pPr>
        <w:spacing w:after="60"/>
      </w:pPr>
      <w:r>
        <w:rPr>
          <w:b/>
        </w:rPr>
        <w:t>Describe the opportunity or problem your proposal seeks to address. Include any relevant background information.</w:t>
      </w:r>
    </w:p>
    <w:p>
      <w:r>
        <w:t>This project will mitigate north central Minnesota forest fragmentation,poor interagency planning, inadequate forest management, and fire suppressed habitats for private and public lands within an approximate 10-mile radius around Camp Ripley (805,000 acres). In 2015, this area was federally designated as the Camp Ripley Sentinel Landscape (CRSL). This area contains 45,000 acres of lakes and streams, 30,825 acres of permanently protected land (Easements and Fee Acquisition), 50 miles of the Mississippi River, 52,000 acres of State Game Refuge, 13 Minnesota Department of Natural Resources (MN DNR) Wildlife Management Areas, County, and City Land. Throughout the CRSL, riparian forest areas are threatened by rapid urban and rural development (MN 2010 Census Data). To date, the CRSL partner team has developed relationship with 400 landowners for protection and restoration. However, restoration work funding has been lacking. The CRSL partnership does not have the resources or staff to assist with forest restoration. The CRSL team utilized Landscape Stewardship Plan, State Wildlife Action Plan, county water plan, MN DNR forestry plan, The Nature Conservancy’s (TNC) Multiple Benefits Analysis, and CRSL Strategic Plan to target restoration projects which will maintain local economy and the Camp Ripley training needs.</w:t>
      </w:r>
    </w:p>
    <w:p>
      <w:pPr>
        <w:spacing w:after="60"/>
      </w:pPr>
      <w:r>
        <w:rPr>
          <w:b/>
        </w:rPr>
        <w:t>What is your proposed solution to the problem or opportunity discussed above? i.e. What are you seeking funding to do? You will be asked to expand on this in Activities and Milestones.</w:t>
      </w:r>
    </w:p>
    <w:p>
      <w:r>
        <w:t>The Crow Wing Soil and Water Conservation District (CW SWCD) will partner with TNC, Great River Greening (GRG), Todd, Morrison, and Cass SWCDs to complete:</w:t>
        <w:br/>
        <w:t>•</w:t>
        <w:tab/>
        <w:t>65 forest stewardship plans (FSPs) and 20 best management practices (BMPs)</w:t>
        <w:br/>
        <w:t>•</w:t>
        <w:tab/>
        <w:t xml:space="preserve">Restore and enhance 90 acres of public land </w:t>
        <w:br/>
        <w:t>•</w:t>
        <w:tab/>
        <w:t xml:space="preserve">Implement prescribed fire on approximately 550 acres of protected forest lands </w:t>
        <w:br/>
        <w:t>This Phase II proposal builds off the success of the CRSL protection work and the CW SWCD 2016 Environmental Natural Resources Trust Fund grant that completed 65 private FSPs and enrolled private landowners into Sustainable Forest Incentive Act (SFIA) or county 2c tax programs, and restored forest on private and public lands. This project will utilize an existing landowners list and prioritize public sites. The ranked sites will provide the greatest habitat and clean water values within targeted minor watersheds. The CW SWCD will partner with GRG to restore and enhance 90 acres (two cities, two agencies) of public land. TNC will develop prescribed fire implementation (approximately 550 acres) on fire-dependent systems. The CW SWCD will follow MN DNR requirements for FSPs and Board of Water Soil Resources (BWSR) State Cost-Share Policies for BMPs. This includes contracts, site inspection, plans, cost-estimates, and SWCD Board approval.</w:t>
      </w:r>
    </w:p>
    <w:p>
      <w:pPr>
        <w:spacing w:after="60"/>
      </w:pPr>
      <w:r>
        <w:rPr>
          <w:b/>
        </w:rPr>
        <w:t xml:space="preserve">What are the specific project outcomes as they relate to the public purpose of protection, conservation, preservation, and enhancement of the state’s natural resources? </w:t>
      </w:r>
    </w:p>
    <w:p>
      <w:r>
        <w:t>This project will focus on the following outcomes:</w:t>
        <w:br/>
        <w:t>1. GRG will focus on forest restoration and enhancement of 90 acres of public lands within the project focus area.</w:t>
        <w:br/>
        <w:t>2. TNC will develop and implement prescribed fire on approximately 550 fire-dependent forested acres of public and conservation easement lands within the project focus area.</w:t>
        <w:br/>
        <w:t>3. CW SWCD and private consultants will develop 65 FSPs with private landowners and have landowners enroll into SFIA or county 2c to ensure forest and habitat protection. The landowners will implement 20 BMPs. All projects will have a life span of 10 years.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Watershed(s): </w:t>
      </w:r>
      <w:r>
        <w:t>Mississippi River - Brainerd</w:t>
      </w:r>
      <w:r>
        <w:t xml:space="preserve">, </w:t>
      </w:r>
      <w:r>
        <w:t>Crow Wing River</w:t>
      </w:r>
      <w:r>
        <w:t xml:space="preserve">, </w:t>
      </w:r>
      <w:r>
        <w:t>Long Prairie River</w:t>
      </w:r>
      <w:r>
        <w:t xml:space="preserve">, </w:t>
      </w:r>
    </w:p>
    <w:p>
      <w:r>
        <w:rPr>
          <w:b/>
        </w:rPr>
        <w:t xml:space="preserve">What is the best scale to describe the area impacted by your work?  </w:t>
        <w:br/>
        <w:tab/>
      </w:r>
      <w:r>
        <w:t xml:space="preserve">Watershed(s): </w:t>
      </w:r>
      <w:r>
        <w:t>Crow Wing River</w:t>
      </w:r>
      <w:r>
        <w:t xml:space="preserve">, </w:t>
      </w:r>
      <w:r>
        <w:t>Mississippi River - Brainerd</w:t>
      </w:r>
      <w:r>
        <w:t xml:space="preserve">, </w:t>
      </w:r>
      <w:r>
        <w:t>Long Prairie River</w:t>
      </w:r>
      <w:r>
        <w:t xml:space="preserve">, </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Restoration/Enhancement on Public Lands including Volunteer Engagement</w:t>
      </w:r>
    </w:p>
    <w:p>
      <w:r>
        <w:rPr>
          <w:b/>
        </w:rPr>
        <w:t xml:space="preserve">Activity Budget: </w:t>
      </w:r>
      <w:r>
        <w:t>$262,500</w:t>
      </w:r>
    </w:p>
    <w:p>
      <w:r>
        <w:rPr>
          <w:b/>
        </w:rPr>
        <w:t xml:space="preserve">Activity Description: </w:t>
        <w:br/>
      </w:r>
      <w:r>
        <w:t>GRG will restore and enhance 0.4 mile of shoreline and 90 acres of forest and other habitat on federal, state, and local government land. Activities include:</w:t>
        <w:br/>
        <w:t>•</w:t>
        <w:tab/>
        <w:t>prairie restoration with emphasis on pollinator needs</w:t>
        <w:br/>
        <w:t>•</w:t>
        <w:tab/>
        <w:t>thinning of jack pine to convert to a savanna</w:t>
        <w:br/>
        <w:t>•</w:t>
        <w:tab/>
        <w:t>planting in forest gaps</w:t>
        <w:br/>
        <w:t>•</w:t>
        <w:tab/>
        <w:t>controlling overabundant hazel</w:t>
        <w:br/>
        <w:t>•</w:t>
        <w:tab/>
        <w:t>controlling non-native invasive species</w:t>
        <w:br/>
        <w:t>•</w:t>
        <w:tab/>
        <w:t xml:space="preserve">tree planting and forest thinning </w:t>
        <w:br/>
        <w:t>A total of 55 volunteers will be engaged in appropriate, impactful, educational, and engaging portions of the work such as seed collection, forb planting, and tree planting.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Participant agreements executed.</w:t>
            </w:r>
          </w:p>
        </w:tc>
        <w:tc>
          <w:tcPr>
            <w:tcW w:type="dxa" w:w="2160"/>
          </w:tcPr>
          <w:p>
            <w:pPr>
              <w:jc w:val="right"/>
            </w:pPr>
            <w:r>
              <w:rPr>
                <w:sz w:val="20"/>
              </w:rPr>
              <w:t>February 28, 2022</w:t>
            </w:r>
          </w:p>
        </w:tc>
      </w:tr>
      <w:tr>
        <w:tc>
          <w:tcPr>
            <w:tcW w:type="dxa" w:w="8640"/>
          </w:tcPr>
          <w:p>
            <w:r>
              <w:rPr>
                <w:sz w:val="20"/>
              </w:rPr>
              <w:t>Management plans written.</w:t>
            </w:r>
          </w:p>
        </w:tc>
        <w:tc>
          <w:tcPr>
            <w:tcW w:type="dxa" w:w="2160"/>
          </w:tcPr>
          <w:p>
            <w:pPr>
              <w:jc w:val="right"/>
            </w:pPr>
            <w:r>
              <w:rPr>
                <w:sz w:val="20"/>
              </w:rPr>
              <w:t>June 30, 2022</w:t>
            </w:r>
          </w:p>
        </w:tc>
      </w:tr>
      <w:tr>
        <w:tc>
          <w:tcPr>
            <w:tcW w:type="dxa" w:w="8640"/>
          </w:tcPr>
          <w:p>
            <w:r>
              <w:rPr>
                <w:sz w:val="20"/>
              </w:rPr>
              <w:t>Implementation completed.</w:t>
            </w:r>
          </w:p>
        </w:tc>
        <w:tc>
          <w:tcPr>
            <w:tcW w:type="dxa" w:w="2160"/>
          </w:tcPr>
          <w:p>
            <w:pPr>
              <w:jc w:val="right"/>
            </w:pPr>
            <w:r>
              <w:rPr>
                <w:sz w:val="20"/>
              </w:rPr>
              <w:t>June 30, 2024</w:t>
            </w:r>
          </w:p>
        </w:tc>
      </w:tr>
    </w:tbl>
    <w:p/>
    <w:p>
      <w:pPr>
        <w:pStyle w:val="Heading3"/>
        <w:spacing w:after="60"/>
      </w:pPr>
      <w:r>
        <w:rPr>
          <w:b/>
          <w:color w:val="254885"/>
          <w:sz w:val="26"/>
        </w:rPr>
        <w:t>Activity 2: Enhancement of public lands and private easements with prescribed fire</w:t>
      </w:r>
    </w:p>
    <w:p>
      <w:r>
        <w:rPr>
          <w:b/>
        </w:rPr>
        <w:t xml:space="preserve">Activity Budget: </w:t>
      </w:r>
      <w:r>
        <w:t>$187,500</w:t>
      </w:r>
    </w:p>
    <w:p>
      <w:r>
        <w:rPr>
          <w:b/>
        </w:rPr>
        <w:t xml:space="preserve">Activity Description: </w:t>
        <w:br/>
      </w:r>
      <w:r>
        <w:t>TNC will focus on increasing fire-dependent native plant communities throughout the forested ecosystems of the Camp Ripley Sentinel Landscape. TNC will colloborate with local partners and private landowners to determine priority of treatment areas. TNC will conduct prescribed fires in forested communities to help improve understory conditions to enhance regeneration of desirable species such as oak and pine. On sites where invasive species are present in the understory, TNC crews will use mechanical and chemical treatments to restore site conditions to make fire management effective.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Author ten prescribed fire burn plans and identify scope of work for each site.</w:t>
            </w:r>
          </w:p>
        </w:tc>
        <w:tc>
          <w:tcPr>
            <w:tcW w:type="dxa" w:w="2160"/>
          </w:tcPr>
          <w:p>
            <w:pPr>
              <w:jc w:val="right"/>
            </w:pPr>
            <w:r>
              <w:rPr>
                <w:sz w:val="20"/>
              </w:rPr>
              <w:t>June 30, 2022</w:t>
            </w:r>
          </w:p>
        </w:tc>
      </w:tr>
      <w:tr>
        <w:tc>
          <w:tcPr>
            <w:tcW w:type="dxa" w:w="8640"/>
          </w:tcPr>
          <w:p>
            <w:r>
              <w:rPr>
                <w:sz w:val="20"/>
              </w:rPr>
              <w:t>Acquire appropriate equipment, personnel, and supplies to prepare for implementation.</w:t>
            </w:r>
          </w:p>
        </w:tc>
        <w:tc>
          <w:tcPr>
            <w:tcW w:type="dxa" w:w="2160"/>
          </w:tcPr>
          <w:p>
            <w:pPr>
              <w:jc w:val="right"/>
            </w:pPr>
            <w:r>
              <w:rPr>
                <w:sz w:val="20"/>
              </w:rPr>
              <w:t>December 31, 2022</w:t>
            </w:r>
          </w:p>
        </w:tc>
      </w:tr>
      <w:tr>
        <w:tc>
          <w:tcPr>
            <w:tcW w:type="dxa" w:w="8640"/>
          </w:tcPr>
          <w:p>
            <w:r>
              <w:rPr>
                <w:sz w:val="20"/>
              </w:rPr>
              <w:t>Implement forest enhancement through prescribed fire and fuels treatments on roughly 550 acres.</w:t>
            </w:r>
          </w:p>
        </w:tc>
        <w:tc>
          <w:tcPr>
            <w:tcW w:type="dxa" w:w="2160"/>
          </w:tcPr>
          <w:p>
            <w:pPr>
              <w:jc w:val="right"/>
            </w:pPr>
            <w:r>
              <w:rPr>
                <w:sz w:val="20"/>
              </w:rPr>
              <w:t>June 30, 2024</w:t>
            </w:r>
          </w:p>
        </w:tc>
      </w:tr>
    </w:tbl>
    <w:p/>
    <w:p>
      <w:pPr>
        <w:pStyle w:val="Heading3"/>
        <w:spacing w:after="60"/>
      </w:pPr>
      <w:r>
        <w:rPr>
          <w:b/>
          <w:color w:val="254885"/>
          <w:sz w:val="26"/>
        </w:rPr>
        <w:t>Activity 3: Landowner outreach, private forest management plan writing, and landowner enrollment in forest programs and forest restoration on private lands.</w:t>
      </w:r>
    </w:p>
    <w:p>
      <w:r>
        <w:rPr>
          <w:b/>
        </w:rPr>
        <w:t xml:space="preserve">Activity Budget: </w:t>
      </w:r>
      <w:r>
        <w:t>$281,000</w:t>
      </w:r>
    </w:p>
    <w:p>
      <w:r>
        <w:rPr>
          <w:b/>
        </w:rPr>
        <w:t xml:space="preserve">Activity Description: </w:t>
        <w:br/>
      </w:r>
      <w:r>
        <w:t>CW SWCD or private forest consultants will outreach to prioritized private forest landowners, develop 65 FSPs, 20 BMPs, and enroll landowners in local county 2c or SFIA programs. Options for landowners to enroll are:</w:t>
        <w:br/>
        <w:t>Easement - if a landowner is in, or enrolling into a perpetual conservation easement (permanently protected), we will cover the FSP costs and offer BMP cost share.</w:t>
        <w:br/>
        <w:t xml:space="preserve">SFIA - If the landowner is in, or enrolling into SFIA, we will cover the FSP costs and offer BMP cost share. SFIA is covenant with the State of Minnesota requiring to keep their land a forest describe under the FSP for eight, twenty-five, or fifty years. </w:t>
        <w:br/>
        <w:t xml:space="preserve">MN SFIA staff indicate the only landowners that have unrolled SFIA is to go permanent conservation easement. The State have adopted FSIA as protected land. </w:t>
        <w:br/>
        <w:br/>
        <w:t>2c - If the landowner is enrolling into 2c, we will cover the costs of the FSP if the landowner performs at least one of the available BMP's with cost-share.</w:t>
        <w:br/>
        <w:br/>
        <w:t>Cost-Share contract requires the landowner keep the practice on their land for a minimum of 10 years for landowner is in easement, SFIA, or 2c. The project will follow BWSR State Cost-Share.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1.Convene and coordinate six partner meetings and three community landowner meetings.</w:t>
            </w:r>
          </w:p>
        </w:tc>
        <w:tc>
          <w:tcPr>
            <w:tcW w:type="dxa" w:w="2160"/>
          </w:tcPr>
          <w:p>
            <w:pPr>
              <w:jc w:val="right"/>
            </w:pPr>
            <w:r>
              <w:rPr>
                <w:sz w:val="20"/>
              </w:rPr>
              <w:t>June 30, 2024</w:t>
            </w:r>
          </w:p>
        </w:tc>
      </w:tr>
      <w:tr>
        <w:tc>
          <w:tcPr>
            <w:tcW w:type="dxa" w:w="8640"/>
          </w:tcPr>
          <w:p>
            <w:r>
              <w:rPr>
                <w:sz w:val="20"/>
              </w:rPr>
              <w:t>2. Targeted landowner solicitation, civic engagement, and project management (minimum of 50 landowners).</w:t>
            </w:r>
          </w:p>
        </w:tc>
        <w:tc>
          <w:tcPr>
            <w:tcW w:type="dxa" w:w="2160"/>
          </w:tcPr>
          <w:p>
            <w:pPr>
              <w:jc w:val="right"/>
            </w:pPr>
            <w:r>
              <w:rPr>
                <w:sz w:val="20"/>
              </w:rPr>
              <w:t>June 30, 2024</w:t>
            </w:r>
          </w:p>
        </w:tc>
      </w:tr>
      <w:tr>
        <w:tc>
          <w:tcPr>
            <w:tcW w:type="dxa" w:w="8640"/>
          </w:tcPr>
          <w:p>
            <w:r>
              <w:rPr>
                <w:sz w:val="20"/>
              </w:rPr>
              <w:t>3. Write 32 FSPs by CW SWCD and 33 FSPs by private foresters.</w:t>
            </w:r>
          </w:p>
        </w:tc>
        <w:tc>
          <w:tcPr>
            <w:tcW w:type="dxa" w:w="2160"/>
          </w:tcPr>
          <w:p>
            <w:pPr>
              <w:jc w:val="right"/>
            </w:pPr>
            <w:r>
              <w:rPr>
                <w:sz w:val="20"/>
              </w:rPr>
              <w:t>June 30, 2024</w:t>
            </w:r>
          </w:p>
        </w:tc>
      </w:tr>
      <w:tr>
        <w:tc>
          <w:tcPr>
            <w:tcW w:type="dxa" w:w="8640"/>
          </w:tcPr>
          <w:p>
            <w:r>
              <w:rPr>
                <w:sz w:val="20"/>
              </w:rPr>
              <w:t>4.Implement 20 BMPs on private lands (riparian buffer, forest management, and invasive species mitigation).</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Wiley Buck</w:t>
            </w:r>
          </w:p>
        </w:tc>
        <w:tc>
          <w:tcPr>
            <w:tcW w:type="dxa" w:w="1440"/>
          </w:tcPr>
          <w:p>
            <w:r>
              <w:rPr>
                <w:sz w:val="20"/>
              </w:rPr>
              <w:t>Great River Greening</w:t>
            </w:r>
          </w:p>
        </w:tc>
        <w:tc>
          <w:tcPr>
            <w:tcW w:type="dxa" w:w="6840"/>
          </w:tcPr>
          <w:p>
            <w:r>
              <w:rPr>
                <w:sz w:val="20"/>
              </w:rPr>
              <w:t>Activity 2: Sub-award Project Manager</w:t>
            </w:r>
          </w:p>
        </w:tc>
        <w:tc>
          <w:tcPr>
            <w:tcW w:type="dxa" w:w="1080"/>
          </w:tcPr>
          <w:p>
            <w:r>
              <w:rPr>
                <w:sz w:val="20"/>
              </w:rPr>
              <w:t>Yes</w:t>
            </w:r>
          </w:p>
        </w:tc>
      </w:tr>
      <w:tr>
        <w:tc>
          <w:tcPr>
            <w:tcW w:type="dxa" w:w="1440"/>
          </w:tcPr>
          <w:p>
            <w:r>
              <w:rPr>
                <w:sz w:val="20"/>
              </w:rPr>
              <w:t>Matt Graeve</w:t>
            </w:r>
          </w:p>
        </w:tc>
        <w:tc>
          <w:tcPr>
            <w:tcW w:type="dxa" w:w="1440"/>
          </w:tcPr>
          <w:p>
            <w:r>
              <w:rPr>
                <w:sz w:val="20"/>
              </w:rPr>
              <w:t>The Nature Conservancy</w:t>
            </w:r>
          </w:p>
        </w:tc>
        <w:tc>
          <w:tcPr>
            <w:tcW w:type="dxa" w:w="6840"/>
          </w:tcPr>
          <w:p>
            <w:r>
              <w:rPr>
                <w:sz w:val="20"/>
              </w:rPr>
              <w:t>Activity 3: Sub-award Project Manager</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partnership with ensure we follow ENTRF Acknowledgement guidelines and utilize the logo in all print,web, and social media materials related to our projects.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CRSL partnership will leverage federal, state, local and private funds, and programs. Current pending applications are the following:</w:t>
        <w:br/>
        <w:t>•</w:t>
        <w:tab/>
        <w:t>Natural Resource Conservation Service -Regional Conservation Partnership Program for Health Forest Reserve (applied for)</w:t>
        <w:br/>
        <w:t>•</w:t>
        <w:tab/>
        <w:t>Readiness Environmental Protection Integration Pilot project, Camp Ripley restoration program and local/private in-kind support ($300,000).</w:t>
        <w:br/>
        <w:t>•</w:t>
        <w:tab/>
        <w:t>US Forest Service restoration and enhancement ($250,000)</w:t>
        <w:br/>
        <w:t>It is critical to leverage state funds in order to draw federal fund support for this large forest management/restoration initiative. The combination of state and federal funds produces measured results for land and water habitat, water quality, and the local economy.</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Forest Management for Mississippi River Drinking Water Protection</w:t>
            </w:r>
          </w:p>
        </w:tc>
        <w:tc>
          <w:tcPr>
            <w:tcW w:type="dxa" w:w="4680"/>
          </w:tcPr>
          <w:p>
            <w:r>
              <w:rPr>
                <w:sz w:val="20"/>
              </w:rPr>
              <w:t>M.L. 2016, Chp. 186, Sec. 2, Subd. 08f</w:t>
            </w:r>
          </w:p>
        </w:tc>
        <w:tc>
          <w:tcPr>
            <w:tcW w:type="dxa" w:w="1440"/>
          </w:tcPr>
          <w:p>
            <w:pPr>
              <w:jc w:val="right"/>
            </w:pPr>
            <w:r>
              <w:rPr>
                <w:sz w:val="20"/>
              </w:rPr>
              <w:t>$300,000</w:t>
            </w:r>
          </w:p>
        </w:tc>
      </w:tr>
      <w:tr>
        <w:tc>
          <w:tcPr>
            <w:tcW w:type="dxa" w:w="4680"/>
          </w:tcPr>
          <w:p>
            <w:r>
              <w:rPr>
                <w:sz w:val="20"/>
              </w:rPr>
              <w:t>Protecting North-Central Minnesota Lakes</w:t>
            </w:r>
          </w:p>
        </w:tc>
        <w:tc>
          <w:tcPr>
            <w:tcW w:type="dxa" w:w="4680"/>
          </w:tcPr>
          <w:p>
            <w:r>
              <w:rPr>
                <w:sz w:val="20"/>
              </w:rPr>
              <w:t>M.L. 2018, Chp. 214, Art. 4, Sec. 2, Subd. 09h</w:t>
            </w:r>
          </w:p>
        </w:tc>
        <w:tc>
          <w:tcPr>
            <w:tcW w:type="dxa" w:w="1440"/>
          </w:tcPr>
          <w:p>
            <w:pPr>
              <w:jc w:val="right"/>
            </w:pPr>
            <w:r>
              <w:rPr>
                <w:sz w:val="20"/>
              </w:rPr>
              <w:t>$750,000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Administration</w:t>
            </w:r>
          </w:p>
        </w:tc>
        <w:tc>
          <w:tcPr>
            <w:tcW w:type="dxa" w:w="1440"/>
          </w:tcPr>
          <w:p>
            <w:r>
              <w:rPr>
                <w:sz w:val="20"/>
              </w:rPr>
            </w:r>
          </w:p>
        </w:tc>
        <w:tc>
          <w:tcPr>
            <w:tcW w:type="dxa" w:w="5472"/>
          </w:tcPr>
          <w:p>
            <w:r>
              <w:rPr>
                <w:sz w:val="20"/>
              </w:rPr>
              <w:t>Contract/Administration</w:t>
            </w:r>
          </w:p>
        </w:tc>
        <w:tc>
          <w:tcPr>
            <w:tcW w:type="dxa" w:w="4032"/>
          </w:tcPr>
          <w:p>
            <w:r>
              <w:rPr>
                <w:sz w:val="20"/>
              </w:rPr>
            </w:r>
          </w:p>
        </w:tc>
        <w:tc>
          <w:tcPr>
            <w:tcW w:type="dxa" w:w="360"/>
          </w:tcPr>
          <w:p>
            <w:r>
              <w:rPr>
                <w:sz w:val="20"/>
              </w:rPr>
            </w:r>
          </w:p>
        </w:tc>
        <w:tc>
          <w:tcPr>
            <w:tcW w:type="dxa" w:w="360"/>
          </w:tcPr>
          <w:p>
            <w:pPr>
              <w:jc w:val="right"/>
            </w:pPr>
            <w:r>
              <w:rPr>
                <w:sz w:val="20"/>
              </w:rPr>
              <w:t>28%</w:t>
            </w:r>
          </w:p>
        </w:tc>
        <w:tc>
          <w:tcPr>
            <w:tcW w:type="dxa" w:w="360"/>
          </w:tcPr>
          <w:p>
            <w:pPr>
              <w:jc w:val="right"/>
            </w:pPr>
            <w:r>
              <w:rPr>
                <w:sz w:val="20"/>
              </w:rPr>
              <w:t>0.36</w:t>
            </w:r>
          </w:p>
        </w:tc>
        <w:tc>
          <w:tcPr>
            <w:tcW w:type="dxa" w:w="360"/>
          </w:tcPr>
          <w:p>
            <w:r>
              <w:rPr>
                <w:sz w:val="20"/>
              </w:rPr>
            </w:r>
          </w:p>
        </w:tc>
        <w:tc>
          <w:tcPr>
            <w:tcW w:type="dxa" w:w="1152"/>
          </w:tcPr>
          <w:p>
            <w:pPr>
              <w:jc w:val="right"/>
            </w:pPr>
            <w:r>
              <w:rPr>
                <w:sz w:val="20"/>
              </w:rPr>
              <w:t>$29,500</w:t>
            </w:r>
          </w:p>
        </w:tc>
      </w:tr>
      <w:tr>
        <w:tc>
          <w:tcPr>
            <w:tcW w:type="dxa" w:w="864"/>
          </w:tcPr>
          <w:p>
            <w:r>
              <w:rPr>
                <w:sz w:val="20"/>
              </w:rPr>
              <w:t>SWCD Technician</w:t>
            </w:r>
          </w:p>
        </w:tc>
        <w:tc>
          <w:tcPr>
            <w:tcW w:type="dxa" w:w="1440"/>
          </w:tcPr>
          <w:p>
            <w:r>
              <w:rPr>
                <w:sz w:val="20"/>
              </w:rPr>
            </w:r>
          </w:p>
        </w:tc>
        <w:tc>
          <w:tcPr>
            <w:tcW w:type="dxa" w:w="5472"/>
          </w:tcPr>
          <w:p>
            <w:r>
              <w:rPr>
                <w:sz w:val="20"/>
              </w:rPr>
              <w:t>Activity 3: Coordinate landowner projects and forest stewardship plans.</w:t>
            </w:r>
          </w:p>
        </w:tc>
        <w:tc>
          <w:tcPr>
            <w:tcW w:type="dxa" w:w="4032"/>
          </w:tcPr>
          <w:p>
            <w:r>
              <w:rPr>
                <w:sz w:val="20"/>
              </w:rPr>
            </w:r>
          </w:p>
        </w:tc>
        <w:tc>
          <w:tcPr>
            <w:tcW w:type="dxa" w:w="360"/>
          </w:tcPr>
          <w:p>
            <w:r>
              <w:rPr>
                <w:sz w:val="20"/>
              </w:rPr>
            </w:r>
          </w:p>
        </w:tc>
        <w:tc>
          <w:tcPr>
            <w:tcW w:type="dxa" w:w="360"/>
          </w:tcPr>
          <w:p>
            <w:pPr>
              <w:jc w:val="right"/>
            </w:pPr>
            <w:r>
              <w:rPr>
                <w:sz w:val="20"/>
              </w:rPr>
              <w:t>28%</w:t>
            </w:r>
          </w:p>
        </w:tc>
        <w:tc>
          <w:tcPr>
            <w:tcW w:type="dxa" w:w="360"/>
          </w:tcPr>
          <w:p>
            <w:pPr>
              <w:jc w:val="right"/>
            </w:pPr>
            <w:r>
              <w:rPr>
                <w:sz w:val="20"/>
              </w:rPr>
              <w:t>0.96</w:t>
            </w:r>
          </w:p>
        </w:tc>
        <w:tc>
          <w:tcPr>
            <w:tcW w:type="dxa" w:w="360"/>
          </w:tcPr>
          <w:p>
            <w:r>
              <w:rPr>
                <w:sz w:val="20"/>
              </w:rPr>
            </w:r>
          </w:p>
        </w:tc>
        <w:tc>
          <w:tcPr>
            <w:tcW w:type="dxa" w:w="1152"/>
          </w:tcPr>
          <w:p>
            <w:pPr>
              <w:jc w:val="right"/>
            </w:pPr>
            <w:r>
              <w:rPr>
                <w:sz w:val="20"/>
              </w:rPr>
              <w:t>$80,000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$109,500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Great River Greening</w:t>
            </w:r>
          </w:p>
        </w:tc>
        <w:tc>
          <w:tcPr>
            <w:tcW w:type="dxa" w:w="1440"/>
          </w:tcPr>
          <w:p>
            <w:r>
              <w:rPr>
                <w:sz w:val="20"/>
              </w:rPr>
              <w:t>Sub award</w:t>
            </w:r>
          </w:p>
        </w:tc>
        <w:tc>
          <w:tcPr>
            <w:tcW w:type="dxa" w:w="5472"/>
          </w:tcPr>
          <w:p>
            <w:r>
              <w:rPr>
                <w:sz w:val="20"/>
              </w:rPr>
              <w:t>Activity 1: Restoration services on public forest land and grasslands including volunteer engagement. Funds for competitive and potential CCMI subcontracts, personnel, travel, mileage, and  supplies.</w:t>
              <w:br/>
              <w:t>Other Expenses include:</w:t>
              <w:br/>
              <w:t>Volunteer Event Expenses including healthy food, beverage, and toilet and tent rental.</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1.71</w:t>
            </w:r>
          </w:p>
        </w:tc>
        <w:tc>
          <w:tcPr>
            <w:tcW w:type="dxa" w:w="360"/>
          </w:tcPr>
          <w:p>
            <w:r>
              <w:rPr>
                <w:sz w:val="20"/>
              </w:rPr>
            </w:r>
          </w:p>
        </w:tc>
        <w:tc>
          <w:tcPr>
            <w:tcW w:type="dxa" w:w="1152"/>
          </w:tcPr>
          <w:p>
            <w:pPr>
              <w:jc w:val="right"/>
            </w:pPr>
            <w:r>
              <w:rPr>
                <w:sz w:val="20"/>
              </w:rPr>
              <w:t>$262,500</w:t>
            </w:r>
          </w:p>
        </w:tc>
      </w:tr>
      <w:tr>
        <w:tc>
          <w:tcPr>
            <w:tcW w:type="dxa" w:w="864"/>
          </w:tcPr>
          <w:p>
            <w:r>
              <w:rPr>
                <w:sz w:val="20"/>
              </w:rPr>
              <w:t>The Nature Conservancy</w:t>
            </w:r>
          </w:p>
        </w:tc>
        <w:tc>
          <w:tcPr>
            <w:tcW w:type="dxa" w:w="1440"/>
          </w:tcPr>
          <w:p>
            <w:r>
              <w:rPr>
                <w:sz w:val="20"/>
              </w:rPr>
              <w:t>Sub award</w:t>
            </w:r>
          </w:p>
        </w:tc>
        <w:tc>
          <w:tcPr>
            <w:tcW w:type="dxa" w:w="5472"/>
          </w:tcPr>
          <w:p>
            <w:r>
              <w:rPr>
                <w:sz w:val="20"/>
              </w:rPr>
              <w:t>Activity 2: TNC Field Crew Salary and benefits for field crew members, misc. supplies, mileage, and implement prescribed fire.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4.5</w:t>
            </w:r>
          </w:p>
        </w:tc>
        <w:tc>
          <w:tcPr>
            <w:tcW w:type="dxa" w:w="360"/>
          </w:tcPr>
          <w:p>
            <w:r>
              <w:rPr>
                <w:sz w:val="20"/>
              </w:rPr>
            </w:r>
          </w:p>
        </w:tc>
        <w:tc>
          <w:tcPr>
            <w:tcW w:type="dxa" w:w="1152"/>
          </w:tcPr>
          <w:p>
            <w:pPr>
              <w:jc w:val="right"/>
            </w:pPr>
            <w:r>
              <w:rPr>
                <w:sz w:val="20"/>
              </w:rPr>
              <w:t>$187,500</w:t>
            </w:r>
          </w:p>
        </w:tc>
      </w:tr>
      <w:tr>
        <w:tc>
          <w:tcPr>
            <w:tcW w:type="dxa" w:w="864"/>
          </w:tcPr>
          <w:p>
            <w:r>
              <w:rPr>
                <w:sz w:val="20"/>
              </w:rPr>
              <w:t>Private Consultant Forest Stewardship Plan Writers</w:t>
            </w:r>
          </w:p>
        </w:tc>
        <w:tc>
          <w:tcPr>
            <w:tcW w:type="dxa" w:w="1440"/>
          </w:tcPr>
          <w:p>
            <w:r>
              <w:rPr>
                <w:sz w:val="20"/>
              </w:rPr>
              <w:t>Professional or Technical Service Contract</w:t>
            </w:r>
          </w:p>
        </w:tc>
        <w:tc>
          <w:tcPr>
            <w:tcW w:type="dxa" w:w="5472"/>
          </w:tcPr>
          <w:p>
            <w:r>
              <w:rPr>
                <w:sz w:val="20"/>
              </w:rPr>
              <w:t>Activity 3: To write forest stewardship plans for private landowners.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$65,000</w:t>
            </w:r>
          </w:p>
        </w:tc>
      </w:tr>
      <w:tr>
        <w:tc>
          <w:tcPr>
            <w:tcW w:type="dxa" w:w="864"/>
          </w:tcPr>
          <w:p>
            <w:r>
              <w:rPr>
                <w:sz w:val="20"/>
              </w:rPr>
              <w:t>30 Landonwers will complete BMPs</w:t>
            </w:r>
          </w:p>
        </w:tc>
        <w:tc>
          <w:tcPr>
            <w:tcW w:type="dxa" w:w="1440"/>
          </w:tcPr>
          <w:p>
            <w:r>
              <w:rPr>
                <w:sz w:val="20"/>
              </w:rPr>
              <w:t>Professional or Technical Service Contract</w:t>
            </w:r>
          </w:p>
        </w:tc>
        <w:tc>
          <w:tcPr>
            <w:tcW w:type="dxa" w:w="5472"/>
          </w:tcPr>
          <w:p>
            <w:r>
              <w:rPr>
                <w:sz w:val="20"/>
              </w:rPr>
              <w:t>Activity 3: Provide landowners Cost-Share Funds to implement 30 habitat and forest BMPs. A 10 year Cost-share Funds contract signed by SWCD and Landowner. The landowners occurs all cost and until the project is completed. Once the project is completed, inspected, and expenses reviewed, the SWCD will reimburse landowner cost-share.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$615,000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Activity 3: Action items 3 and 4: Travel to sites for projects 4,000 miles.</w:t>
            </w:r>
          </w:p>
        </w:tc>
        <w:tc>
          <w:tcPr>
            <w:tcW w:type="dxa" w:w="4032"/>
          </w:tcPr>
          <w:p>
            <w:r>
              <w:rPr>
                <w:sz w:val="20"/>
              </w:rPr>
              <w:t>To visit sites and help landowners complete BMPs and FSPs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Activity 3: Action item 2: Mailings, maps, and brochures 3000.</w:t>
            </w:r>
          </w:p>
        </w:tc>
        <w:tc>
          <w:tcPr>
            <w:tcW w:type="dxa" w:w="4032"/>
          </w:tcPr>
          <w:p>
            <w:r>
              <w:rPr>
                <w:sz w:val="20"/>
              </w:rPr>
              <w:t>Landowner outreach about conservation programs.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tcPr>
          <w:p>
            <w:r>
              <w:rPr>
                <w:sz w:val="20"/>
              </w:rPr>
            </w:r>
          </w:p>
        </w:tc>
        <w:tc>
          <w:tcPr>
            <w:tcW w:type="dxa" w:w="1440"/>
          </w:tcPr>
          <w:p>
            <w:r>
              <w:rPr>
                <w:sz w:val="20"/>
              </w:rPr>
              <w:t>Printing</w:t>
            </w:r>
          </w:p>
        </w:tc>
        <w:tc>
          <w:tcPr>
            <w:tcW w:type="dxa" w:w="5472"/>
          </w:tcPr>
          <w:p>
            <w:r>
              <w:rPr>
                <w:sz w:val="20"/>
              </w:rPr>
              <w:t>Activity 3: Action Item 2: Printing of program materials 3000 copies.</w:t>
            </w:r>
          </w:p>
        </w:tc>
        <w:tc>
          <w:tcPr>
            <w:tcW w:type="dxa" w:w="4032"/>
          </w:tcPr>
          <w:p>
            <w:r>
              <w:rPr>
                <w:sz w:val="20"/>
              </w:rPr>
              <w:t>To complete landowner outreach and grant requirements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$4,500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$731,000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Contracts and Services</w:t>
            </w:r>
            <w:r>
              <w:rPr>
                <w:sz w:val="20"/>
              </w:rPr>
              <w:t xml:space="preserve"> - Great River Greening</w:t>
            </w:r>
          </w:p>
        </w:tc>
        <w:tc>
          <w:tcPr>
            <w:tcW w:type="dxa" w:w="1800"/>
          </w:tcPr>
          <w:p>
            <w:r>
              <w:rPr>
                <w:sz w:val="20"/>
              </w:rPr>
              <w:t>Sub award</w:t>
            </w:r>
          </w:p>
        </w:tc>
        <w:tc>
          <w:tcPr>
            <w:tcW w:type="dxa" w:w="3240"/>
          </w:tcPr>
          <w:p>
            <w:r>
              <w:rPr>
                <w:sz w:val="20"/>
              </w:rPr>
              <w:t>Activity 1: Restoration services on public forest land and grasslands including volunteer engagement. Funds for competitive and potential CCMI subcontracts, personnel, travel, mileage, and  supplies.</w:t>
              <w:br/>
              <w:t>Other Expenses include:</w:t>
              <w:br/>
              <w:t>Volunteer Event Expenses including healthy food, beverage, and toilet and tent rental.</w:t>
            </w:r>
          </w:p>
        </w:tc>
        <w:tc>
          <w:tcPr>
            <w:tcW w:type="dxa" w:w="7560"/>
          </w:tcPr>
          <w:p>
            <w:r>
              <w:rPr>
                <w:sz w:val="20"/>
              </w:rPr>
              <w:t>Healthy food and beverage are a recruitment tool and safety item as we do not want volunteers hungry or thirsty. Toilet rental where otherwise not available; tent rental when weather forecast indicates the need.</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Federal, local government units, foundation, and corporate</w:t>
            </w:r>
          </w:p>
        </w:tc>
        <w:tc>
          <w:tcPr>
            <w:tcW w:type="dxa" w:w="6120"/>
          </w:tcPr>
          <w:p>
            <w:r>
              <w:rPr>
                <w:sz w:val="20"/>
              </w:rPr>
              <w:t>Activity 1: primarily for GRG personnel costs, volunteer events, and plants.</w:t>
            </w:r>
          </w:p>
        </w:tc>
        <w:tc>
          <w:tcPr>
            <w:tcW w:type="dxa" w:w="1080"/>
          </w:tcPr>
          <w:p>
            <w:r>
              <w:rPr>
                <w:sz w:val="20"/>
              </w:rPr>
              <w:t>Potential</w:t>
            </w:r>
          </w:p>
        </w:tc>
        <w:tc>
          <w:tcPr>
            <w:tcW w:type="dxa" w:w="1440"/>
          </w:tcPr>
          <w:p>
            <w:pPr>
              <w:jc w:val="right"/>
            </w:pPr>
            <w:r>
              <w:rPr>
                <w:sz w:val="20"/>
              </w:rPr>
              <w:t>$7,000</w:t>
            </w:r>
          </w:p>
        </w:tc>
      </w:tr>
      <w:tr>
        <w:tc>
          <w:tcPr>
            <w:tcW w:type="dxa" w:w="1080"/>
          </w:tcPr>
          <w:p>
            <w:r>
              <w:rPr>
                <w:sz w:val="20"/>
              </w:rPr>
              <w:t>In-Kind</w:t>
            </w:r>
          </w:p>
        </w:tc>
        <w:tc>
          <w:tcPr>
            <w:tcW w:type="dxa" w:w="4680"/>
          </w:tcPr>
          <w:p>
            <w:r>
              <w:rPr>
                <w:sz w:val="20"/>
              </w:rPr>
              <w:t>Landowners</w:t>
            </w:r>
          </w:p>
        </w:tc>
        <w:tc>
          <w:tcPr>
            <w:tcW w:type="dxa" w:w="6120"/>
          </w:tcPr>
          <w:p>
            <w:r>
              <w:rPr>
                <w:sz w:val="20"/>
              </w:rPr>
              <w:t>Activity 1: project management assistance and heavy equipment.</w:t>
            </w:r>
          </w:p>
        </w:tc>
        <w:tc>
          <w:tcPr>
            <w:tcW w:type="dxa" w:w="1080"/>
          </w:tcPr>
          <w:p>
            <w:r>
              <w:rPr>
                <w:sz w:val="20"/>
              </w:rPr>
              <w:t>Potential</w:t>
            </w:r>
          </w:p>
        </w:tc>
        <w:tc>
          <w:tcPr>
            <w:tcW w:type="dxa" w:w="1440"/>
          </w:tcPr>
          <w:p>
            <w:pPr>
              <w:jc w:val="right"/>
            </w:pPr>
            <w:r>
              <w:rPr>
                <w:sz w:val="20"/>
              </w:rPr>
              <w:t>$20,000</w:t>
            </w:r>
          </w:p>
        </w:tc>
      </w:tr>
      <w:tr>
        <w:tc>
          <w:tcPr>
            <w:tcW w:type="dxa" w:w="1080"/>
          </w:tcPr>
          <w:p>
            <w:r>
              <w:rPr>
                <w:sz w:val="20"/>
              </w:rPr>
              <w:t>In-Kind</w:t>
            </w:r>
          </w:p>
        </w:tc>
        <w:tc>
          <w:tcPr>
            <w:tcW w:type="dxa" w:w="4680"/>
          </w:tcPr>
          <w:p>
            <w:r>
              <w:rPr>
                <w:sz w:val="20"/>
              </w:rPr>
              <w:t>Total of 200 volunteer hours at $24/hr (MN-DNR NCLI posted rate).</w:t>
            </w:r>
          </w:p>
        </w:tc>
        <w:tc>
          <w:tcPr>
            <w:tcW w:type="dxa" w:w="6120"/>
          </w:tcPr>
          <w:p>
            <w:r>
              <w:rPr>
                <w:sz w:val="20"/>
              </w:rPr>
              <w:t>Activity 1: seed collection, forb planting, and tree planting.</w:t>
            </w:r>
          </w:p>
        </w:tc>
        <w:tc>
          <w:tcPr>
            <w:tcW w:type="dxa" w:w="1080"/>
          </w:tcPr>
          <w:p>
            <w:r>
              <w:rPr>
                <w:sz w:val="20"/>
              </w:rPr>
              <w:t>Potential</w:t>
            </w:r>
          </w:p>
        </w:tc>
        <w:tc>
          <w:tcPr>
            <w:tcW w:type="dxa" w:w="1440"/>
          </w:tcPr>
          <w:p>
            <w:pPr>
              <w:jc w:val="right"/>
            </w:pPr>
            <w:r>
              <w:rPr>
                <w:sz w:val="20"/>
              </w:rPr>
              <w:t>$3,400</w:t>
            </w:r>
          </w:p>
        </w:tc>
      </w:tr>
      <w:tr>
        <w:tc>
          <w:tcPr>
            <w:tcW w:type="dxa" w:w="1080"/>
          </w:tcPr>
          <w:p>
            <w:r>
              <w:rPr>
                <w:sz w:val="20"/>
              </w:rPr>
              <w:t>In-Kind</w:t>
            </w:r>
          </w:p>
        </w:tc>
        <w:tc>
          <w:tcPr>
            <w:tcW w:type="dxa" w:w="4680"/>
          </w:tcPr>
          <w:p>
            <w:r>
              <w:rPr>
                <w:sz w:val="20"/>
              </w:rPr>
              <w:t>General support funds (foundations, corporations, and private donations).</w:t>
            </w:r>
          </w:p>
        </w:tc>
        <w:tc>
          <w:tcPr>
            <w:tcW w:type="dxa" w:w="6120"/>
          </w:tcPr>
          <w:p>
            <w:r>
              <w:rPr>
                <w:sz w:val="20"/>
              </w:rPr>
              <w:t>Activity 1: GRG overhead costs covered by General Operating Support grants.</w:t>
            </w:r>
          </w:p>
        </w:tc>
        <w:tc>
          <w:tcPr>
            <w:tcW w:type="dxa" w:w="1080"/>
          </w:tcPr>
          <w:p>
            <w:r>
              <w:rPr>
                <w:sz w:val="20"/>
              </w:rPr>
              <w:t>Secured</w:t>
            </w:r>
          </w:p>
        </w:tc>
        <w:tc>
          <w:tcPr>
            <w:tcW w:type="dxa" w:w="1440"/>
          </w:tcPr>
          <w:p>
            <w:pPr>
              <w:jc w:val="right"/>
            </w:pPr>
            <w:r>
              <w:rPr>
                <w:sz w:val="20"/>
              </w:rPr>
              <w:t>$29,000</w:t>
            </w:r>
          </w:p>
        </w:tc>
      </w:tr>
      <w:tr>
        <w:tc>
          <w:tcPr>
            <w:tcW w:type="dxa" w:w="1080"/>
          </w:tcPr>
          <w:p>
            <w:r>
              <w:rPr>
                <w:sz w:val="20"/>
              </w:rPr>
              <w:t>In-Kind</w:t>
            </w:r>
          </w:p>
        </w:tc>
        <w:tc>
          <w:tcPr>
            <w:tcW w:type="dxa" w:w="4680"/>
          </w:tcPr>
          <w:p>
            <w:r>
              <w:rPr>
                <w:sz w:val="20"/>
              </w:rPr>
              <w:t>TNC indirect expenses.</w:t>
            </w:r>
          </w:p>
        </w:tc>
        <w:tc>
          <w:tcPr>
            <w:tcW w:type="dxa" w:w="6120"/>
          </w:tcPr>
          <w:p>
            <w:r>
              <w:rPr>
                <w:sz w:val="20"/>
              </w:rPr>
              <w:t>Activity 2: TNC  indirect expense to do the work for this grant will be leveraged in support of the project. These expenses will not be tracked or reported, and are not to be considered match.</w:t>
            </w:r>
          </w:p>
        </w:tc>
        <w:tc>
          <w:tcPr>
            <w:tcW w:type="dxa" w:w="1080"/>
          </w:tcPr>
          <w:p>
            <w:r>
              <w:rPr>
                <w:sz w:val="20"/>
              </w:rPr>
              <w:t>Secured</w:t>
            </w:r>
          </w:p>
        </w:tc>
        <w:tc>
          <w:tcPr>
            <w:tcW w:type="dxa" w:w="1440"/>
          </w:tcPr>
          <w:p>
            <w:pPr>
              <w:jc w:val="right"/>
            </w:pPr>
            <w:r>
              <w:rPr>
                <w:sz w:val="20"/>
              </w:rPr>
              <w:t>$44,250</w:t>
            </w:r>
          </w:p>
        </w:tc>
      </w:tr>
      <w:tr>
        <w:tc>
          <w:tcPr>
            <w:tcW w:type="dxa" w:w="1080"/>
          </w:tcPr>
          <w:p>
            <w:r>
              <w:rPr>
                <w:sz w:val="20"/>
              </w:rPr>
              <w:t>In-Kind</w:t>
            </w:r>
          </w:p>
        </w:tc>
        <w:tc>
          <w:tcPr>
            <w:tcW w:type="dxa" w:w="4680"/>
          </w:tcPr>
          <w:p>
            <w:r>
              <w:rPr>
                <w:sz w:val="20"/>
              </w:rPr>
              <w:t>Landowner share to the project cost.</w:t>
            </w:r>
          </w:p>
        </w:tc>
        <w:tc>
          <w:tcPr>
            <w:tcW w:type="dxa" w:w="6120"/>
          </w:tcPr>
          <w:p>
            <w:r>
              <w:rPr>
                <w:sz w:val="20"/>
              </w:rPr>
              <w:t>Activity 3: Landowner contribution to the project in labor or material cost. The CW SWCD requires a 50 percent match for the project.</w:t>
            </w:r>
          </w:p>
        </w:tc>
        <w:tc>
          <w:tcPr>
            <w:tcW w:type="dxa" w:w="1080"/>
          </w:tcPr>
          <w:p>
            <w:r>
              <w:rPr>
                <w:sz w:val="20"/>
              </w:rPr>
              <w:t>Pending</w:t>
            </w:r>
          </w:p>
        </w:tc>
        <w:tc>
          <w:tcPr>
            <w:tcW w:type="dxa" w:w="1440"/>
          </w:tcPr>
          <w:p>
            <w:pPr>
              <w:jc w:val="right"/>
            </w:pPr>
            <w:r>
              <w:rPr>
                <w:sz w:val="20"/>
              </w:rPr>
              <w:t>$100,000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$203,650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$203,650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Department of Military Affairs</w:t>
            </w:r>
          </w:p>
        </w:tc>
        <w:tc>
          <w:tcPr>
            <w:tcW w:type="dxa" w:w="1440"/>
          </w:tcPr>
          <w:p>
            <w:r>
              <w:rPr>
                <w:sz w:val="20"/>
              </w:rPr>
              <w:t>Cass</w:t>
            </w:r>
          </w:p>
        </w:tc>
        <w:tc>
          <w:tcPr>
            <w:tcW w:type="dxa" w:w="3888"/>
          </w:tcPr>
          <w:p>
            <w:r>
              <w:rPr>
                <w:sz w:val="20"/>
              </w:rPr>
              <w:t>Series of habitat blocks adjacent to Camp Ripley, with hunting.</w:t>
            </w:r>
          </w:p>
        </w:tc>
        <w:tc>
          <w:tcPr>
            <w:tcW w:type="dxa" w:w="1080"/>
          </w:tcPr>
          <w:p>
            <w:r>
              <w:rPr>
                <w:sz w:val="20"/>
              </w:rPr>
              <w:t>Restoration</w:t>
            </w:r>
          </w:p>
        </w:tc>
        <w:tc>
          <w:tcPr>
            <w:tcW w:type="dxa" w:w="432"/>
          </w:tcPr>
          <w:p>
            <w:pPr>
              <w:jc w:val="right"/>
            </w:pPr>
            <w:r>
              <w:rPr>
                <w:sz w:val="20"/>
              </w:rPr>
              <w:t>10</w:t>
            </w:r>
          </w:p>
        </w:tc>
        <w:tc>
          <w:tcPr>
            <w:tcW w:type="dxa" w:w="432"/>
          </w:tcPr>
          <w:p>
            <w:pPr>
              <w:jc w:val="right"/>
            </w:pPr>
            <w:r>
              <w:rPr>
                <w:sz w:val="20"/>
              </w:rPr>
              <w:t>-</w:t>
            </w:r>
          </w:p>
        </w:tc>
        <w:tc>
          <w:tcPr>
            <w:tcW w:type="dxa" w:w="1080"/>
          </w:tcPr>
          <w:p>
            <w:pPr>
              <w:jc w:val="right"/>
            </w:pPr>
            <w:r>
              <w:rPr>
                <w:sz w:val="20"/>
              </w:rPr>
              <w:t>$28,000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Pillager Point</w:t>
            </w:r>
          </w:p>
        </w:tc>
        <w:tc>
          <w:tcPr>
            <w:tcW w:type="dxa" w:w="1440"/>
          </w:tcPr>
          <w:p>
            <w:r>
              <w:rPr>
                <w:sz w:val="20"/>
              </w:rPr>
              <w:t>Cass</w:t>
            </w:r>
          </w:p>
        </w:tc>
        <w:tc>
          <w:tcPr>
            <w:tcW w:type="dxa" w:w="3888"/>
          </w:tcPr>
          <w:p>
            <w:r>
              <w:rPr>
                <w:sz w:val="20"/>
              </w:rPr>
              <w:t>Underutilized natural area with quality terrace forest and shoreline at the confluence of Pillager Creek and Crow Wing River.</w:t>
            </w:r>
          </w:p>
        </w:tc>
        <w:tc>
          <w:tcPr>
            <w:tcW w:type="dxa" w:w="1080"/>
          </w:tcPr>
          <w:p>
            <w:r>
              <w:rPr>
                <w:sz w:val="20"/>
              </w:rPr>
              <w:t>Restoration</w:t>
            </w:r>
          </w:p>
        </w:tc>
        <w:tc>
          <w:tcPr>
            <w:tcW w:type="dxa" w:w="432"/>
          </w:tcPr>
          <w:p>
            <w:pPr>
              <w:jc w:val="right"/>
            </w:pPr>
            <w:r>
              <w:rPr>
                <w:sz w:val="20"/>
              </w:rPr>
              <w:t>14</w:t>
            </w:r>
          </w:p>
        </w:tc>
        <w:tc>
          <w:tcPr>
            <w:tcW w:type="dxa" w:w="432"/>
          </w:tcPr>
          <w:p>
            <w:pPr>
              <w:jc w:val="right"/>
            </w:pPr>
            <w:r>
              <w:rPr>
                <w:sz w:val="20"/>
              </w:rPr>
              <w:t>0.3</w:t>
            </w:r>
          </w:p>
        </w:tc>
        <w:tc>
          <w:tcPr>
            <w:tcW w:type="dxa" w:w="1080"/>
          </w:tcPr>
          <w:p>
            <w:pPr>
              <w:jc w:val="right"/>
            </w:pPr>
            <w:r>
              <w:rPr>
                <w:sz w:val="20"/>
              </w:rPr>
              <w:t>$34,000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Ripley Esker SNA</w:t>
            </w:r>
          </w:p>
        </w:tc>
        <w:tc>
          <w:tcPr>
            <w:tcW w:type="dxa" w:w="1440"/>
          </w:tcPr>
          <w:p>
            <w:r>
              <w:rPr>
                <w:sz w:val="20"/>
              </w:rPr>
              <w:t>Morrison</w:t>
            </w:r>
          </w:p>
        </w:tc>
        <w:tc>
          <w:tcPr>
            <w:tcW w:type="dxa" w:w="3888"/>
          </w:tcPr>
          <w:p>
            <w:r>
              <w:rPr>
                <w:sz w:val="20"/>
              </w:rPr>
              <w:t>Premiere example of rare esker geology; habitat mosaic of prairie, oak woodland, forest, and wetland; MCBS rating of  high;</w:t>
            </w:r>
          </w:p>
        </w:tc>
        <w:tc>
          <w:tcPr>
            <w:tcW w:type="dxa" w:w="1080"/>
          </w:tcPr>
          <w:p>
            <w:r>
              <w:rPr>
                <w:sz w:val="20"/>
              </w:rPr>
              <w:t>Restoration</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$120,000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Scenic River Jack Pine Savanna</w:t>
            </w:r>
          </w:p>
        </w:tc>
        <w:tc>
          <w:tcPr>
            <w:tcW w:type="dxa" w:w="1440"/>
          </w:tcPr>
          <w:p>
            <w:r>
              <w:rPr>
                <w:sz w:val="20"/>
              </w:rPr>
              <w:t>Crow Wing</w:t>
            </w:r>
          </w:p>
        </w:tc>
        <w:tc>
          <w:tcPr>
            <w:tcW w:type="dxa" w:w="3888"/>
          </w:tcPr>
          <w:p>
            <w:r>
              <w:rPr>
                <w:sz w:val="20"/>
              </w:rPr>
              <w:t>Under utilized and unnaturally dense jack pine stand very near and paralleling Mississippi River. Within avian flight distance of Paul Bunyan Jack Pine Savanna.</w:t>
            </w:r>
          </w:p>
        </w:tc>
        <w:tc>
          <w:tcPr>
            <w:tcW w:type="dxa" w:w="1080"/>
          </w:tcPr>
          <w:p>
            <w:r>
              <w:rPr>
                <w:sz w:val="20"/>
              </w:rPr>
              <w:t>Restoration</w:t>
            </w:r>
          </w:p>
        </w:tc>
        <w:tc>
          <w:tcPr>
            <w:tcW w:type="dxa" w:w="432"/>
          </w:tcPr>
          <w:p>
            <w:pPr>
              <w:jc w:val="right"/>
            </w:pPr>
            <w:r>
              <w:rPr>
                <w:sz w:val="20"/>
              </w:rPr>
              <w:t>12</w:t>
            </w:r>
          </w:p>
        </w:tc>
        <w:tc>
          <w:tcPr>
            <w:tcW w:type="dxa" w:w="432"/>
          </w:tcPr>
          <w:p>
            <w:pPr>
              <w:jc w:val="right"/>
            </w:pPr>
            <w:r>
              <w:rPr>
                <w:sz w:val="20"/>
              </w:rPr>
              <w:t>-</w:t>
            </w:r>
          </w:p>
        </w:tc>
        <w:tc>
          <w:tcPr>
            <w:tcW w:type="dxa" w:w="1080"/>
          </w:tcPr>
          <w:p>
            <w:pPr>
              <w:jc w:val="right"/>
            </w:pPr>
            <w:r>
              <w:rPr>
                <w:sz w:val="20"/>
              </w:rPr>
              <w:t>$38,500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Whipple Beach</w:t>
            </w:r>
          </w:p>
        </w:tc>
        <w:tc>
          <w:tcPr>
            <w:tcW w:type="dxa" w:w="1440"/>
          </w:tcPr>
          <w:p>
            <w:r>
              <w:rPr>
                <w:sz w:val="20"/>
              </w:rPr>
              <w:t>Crow Wing</w:t>
            </w:r>
          </w:p>
        </w:tc>
        <w:tc>
          <w:tcPr>
            <w:tcW w:type="dxa" w:w="3888"/>
          </w:tcPr>
          <w:p>
            <w:r>
              <w:rPr>
                <w:sz w:val="20"/>
              </w:rPr>
              <w:t>Forest reserve portion of popular city park on Whipple Lake.</w:t>
            </w:r>
          </w:p>
        </w:tc>
        <w:tc>
          <w:tcPr>
            <w:tcW w:type="dxa" w:w="1080"/>
          </w:tcPr>
          <w:p>
            <w:r>
              <w:rPr>
                <w:sz w:val="20"/>
              </w:rPr>
              <w:t>Restoration</w:t>
            </w:r>
          </w:p>
        </w:tc>
        <w:tc>
          <w:tcPr>
            <w:tcW w:type="dxa" w:w="432"/>
          </w:tcPr>
          <w:p>
            <w:pPr>
              <w:jc w:val="right"/>
            </w:pPr>
            <w:r>
              <w:rPr>
                <w:sz w:val="20"/>
              </w:rPr>
              <w:t>14</w:t>
            </w:r>
          </w:p>
        </w:tc>
        <w:tc>
          <w:tcPr>
            <w:tcW w:type="dxa" w:w="432"/>
          </w:tcPr>
          <w:p>
            <w:pPr>
              <w:jc w:val="right"/>
            </w:pPr>
            <w:r>
              <w:rPr>
                <w:sz w:val="20"/>
              </w:rPr>
              <w:t>0.1</w:t>
            </w:r>
          </w:p>
        </w:tc>
        <w:tc>
          <w:tcPr>
            <w:tcW w:type="dxa" w:w="1080"/>
          </w:tcPr>
          <w:p>
            <w:pPr>
              <w:jc w:val="right"/>
            </w:pPr>
            <w:r>
              <w:rPr>
                <w:sz w:val="20"/>
              </w:rPr>
              <w:t>$42,000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90</w:t>
            </w:r>
          </w:p>
        </w:tc>
        <w:tc>
          <w:tcPr>
            <w:tcW w:type="dxa" w:w="432"/>
            <w:shd w:fill="#eeeeee"/>
          </w:tcPr>
          <w:p>
            <w:pPr>
              <w:jc w:val="right"/>
            </w:pPr>
            <w:r>
              <w:rPr>
                <w:b/>
                <w:color w:val="000000"/>
                <w:sz w:val="20"/>
              </w:rPr>
              <w:t>0.4</w:t>
            </w:r>
          </w:p>
        </w:tc>
        <w:tc>
          <w:tcPr>
            <w:tcW w:type="dxa" w:w="1080"/>
            <w:shd w:fill="#eeeeee"/>
          </w:tcPr>
          <w:p>
            <w:pPr>
              <w:jc w:val="right"/>
            </w:pPr>
            <w:r>
              <w:rPr>
                <w:b/>
                <w:color w:val="000000"/>
                <w:sz w:val="20"/>
              </w:rPr>
              <w:t>$262,500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GRG and TNC restoration work will take place on land in public ownership or permanently protected by a conservation easement.</w:t>
        <w:br/>
        <w:br/>
        <w:t>The SWCD restoration work take place on land that have conservation easement permanently protected or enrolled in 2c or SFIA programs. The SWCD will work with landowners to enroll their forest land into SFIA.</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All sites that are enhanced and restored through this work will see improved habitat conditions for wildlife and pollinators, reduced invasive species populations, and improved conditions for forest regeneration. Management activities will be based on management plans and recommendations from each site’s respective land manager(s), and will utilize most current BMPs. Records of management activities will be kept on file both with the implementing agency and the respective land manager(s). Utilizing adaptive management, activities will be evaluated after implementation and will provide input for adjustments to management plans and future planned activities for each site.</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All restoration and enhancement work will be done in accordance with the BWSR Native Vegetation Establishment and Enhancement Guidelines. All project will utilize all native seed mixes for all BMPs.  All projects will follow the US Department of Agriculture Natural Resource Conservation Service Practice Field Guide.  Management will focus on restoring ecological processes such as prescribed fire and reducing invasive species populations. These management activities will enhance native ecosystem function by improving soil health and nutrient cycling, while creating enhanced growing conditions for more vigorous native plant growth. Overall efforts will be aimed at improving function and resilience within the larger landscape to improve habitat conditions for pollinators and wildlife.</w:t>
      </w:r>
    </w:p>
    <w:p>
      <w:r>
        <w:rPr>
          <w:b/>
        </w:rPr>
        <w:t xml:space="preserve">4. Describe how the long-term maintenance and management needs of the parcel being restored with these funds will be met and financed into the future. </w:t>
        <w:br/>
      </w:r>
      <w:r>
        <w:t>CW SWCD will utilize the BWSR State Cost-Share Contract and process which includes:</w:t>
        <w:br/>
        <w:t>1)</w:t>
        <w:tab/>
        <w:t>A Cost-Share Contract and maintenance plan between the SWCD Board and landowner/land occupier.</w:t>
        <w:br/>
        <w:t>2)</w:t>
        <w:tab/>
        <w:t>SWCD will complete maintenance inspections on the 1, 3, and 9 year after project completion.</w:t>
        <w:br/>
        <w:t>3)</w:t>
        <w:tab/>
        <w:t>Landowner will be required to have a 50 percent match towards the project.</w:t>
        <w:br/>
        <w:t xml:space="preserve">After the second year, the project participant will be required to maintain the site annually. </w:t>
        <w:br/>
        <w:t>After the appropriation, long-term maintenance and management needs of the parcel being restored with these funds become the responsibility of the landowner, as part of a written agreement between the landowner and GRG. GRG continues to monitor the sites, communicates with landowners, and seeks to assist with maintenance when possible.</w:t>
        <w:br/>
        <w:t>On public lands, resources that are currently available resources to public land managers will allow for completion of long-term maintenance and management needs after the initial restoration and enhancements are made on these sites.</w:t>
      </w:r>
    </w:p>
    <w:p>
      <w:r>
        <w:rPr>
          <w:b/>
        </w:rPr>
        <w:t xml:space="preserve">5. Describe how consideration will be given to contracting with Conservation Corps of Minnesota for any restoration activities. </w:t>
        <w:br/>
      </w:r>
      <w:r>
        <w:t>CCMI will be contacted once the grant funding is secured to seek their interest in the various restoration activities. Projects will incorporate CCMI field crews when applicable to assist with the enhancement and restoration activities. Habitat enhancement crews may at times be a blend of hired staff and CCMI crews.</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CW SWCD will complete project evaluations on all restoration activities and follow BWSR inspection schedule which requires inspection year 1, 3, and 9. An evaluation report will be filed with the project folder. An adaptive management approach will be utilized, all phases of restoration and enhancement work will be evaluated to help inform future management efforts.</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b880e2ab-817.pdf</w:t>
          </w:r>
        </w:hyperlink>
      </w:r>
    </w:p>
    <w:p>
      <w:pPr>
        <w:pStyle w:val="Heading4"/>
        <w:spacing w:before="40" w:after="20"/>
      </w:pPr>
      <w:r>
        <w:rPr>
          <w:b/>
          <w:i/>
          <w:color w:val="000000"/>
          <w:sz w:val="24"/>
        </w:rPr>
        <w:t>Alternate Text for Map</w:t>
      </w:r>
    </w:p>
    <w:p>
      <w:r>
        <w:t>Camp Ripley Sentinel Landscape and Project Area Boundary for Activity 1, 2, and 3....</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CW SWCD Board Minutes 03.18.20</w:t>
            </w:r>
          </w:p>
        </w:tc>
        <w:tc>
          <w:tcPr>
            <w:tcW w:type="dxa" w:w="5400"/>
          </w:tcPr>
          <w:p>
            <w:r>
              <w:rPr>
                <w:sz w:val="20"/>
              </w:rPr>
            </w:r>
            <w:r>
              <w:rPr>
                <w:color w:val="000000" w:themeColor="hyperlink"/>
                <w:sz w:val="20"/>
                <w:u w:val="single"/>
              </w:rPr>
              <w:hyperlink r:id="rId18">
                <w:r>
                  <w:rPr/>
                  <w:t>aa30f067-a86.pdf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Camp Ripley Letter of Support</w:t>
            </w:r>
          </w:p>
        </w:tc>
        <w:tc>
          <w:tcPr>
            <w:tcW w:type="dxa" w:w="5400"/>
          </w:tcPr>
          <w:p>
            <w:r>
              <w:rPr>
                <w:sz w:val="20"/>
              </w:rPr>
            </w:r>
            <w:r>
              <w:rPr>
                <w:color w:val="000000" w:themeColor="hyperlink"/>
                <w:sz w:val="20"/>
                <w:u w:val="single"/>
              </w:rPr>
              <w:hyperlink r:id="rId19">
                <w:r>
                  <w:rPr/>
                  <w:t>2e3fb413-e92.doc</w:t>
                </w:r>
              </w:hyperlink>
            </w:r>
          </w:p>
        </w:tc>
      </w:tr>
      <w:tr>
        <w:tc>
          <w:tcPr>
            <w:tcW w:type="dxa" w:w="5400"/>
          </w:tcPr>
          <w:p>
            <w:r>
              <w:rPr>
                <w:sz w:val="20"/>
              </w:rPr>
              <w:t>GRG Board Resolution</w:t>
            </w:r>
          </w:p>
        </w:tc>
        <w:tc>
          <w:tcPr>
            <w:tcW w:type="dxa" w:w="5400"/>
          </w:tcPr>
          <w:p>
            <w:r>
              <w:rPr>
                <w:sz w:val="20"/>
              </w:rPr>
            </w:r>
            <w:r>
              <w:rPr>
                <w:color w:val="000000" w:themeColor="hyperlink"/>
                <w:sz w:val="20"/>
                <w:u w:val="single"/>
              </w:rPr>
              <w:hyperlink r:id="rId20">
                <w:r>
                  <w:rPr/>
                  <w:t>67eeb09b-5d7.pdf</w:t>
                </w:r>
              </w:hyperlink>
            </w:r>
          </w:p>
        </w:tc>
      </w:tr>
      <w:tr>
        <w:tc>
          <w:tcPr>
            <w:tcW w:type="dxa" w:w="5400"/>
          </w:tcPr>
          <w:p>
            <w:r>
              <w:rPr>
                <w:sz w:val="20"/>
              </w:rPr>
              <w:t>GRG Qualifications</w:t>
            </w:r>
          </w:p>
        </w:tc>
        <w:tc>
          <w:tcPr>
            <w:tcW w:type="dxa" w:w="5400"/>
          </w:tcPr>
          <w:p>
            <w:r>
              <w:rPr>
                <w:sz w:val="20"/>
              </w:rPr>
            </w:r>
            <w:r>
              <w:rPr>
                <w:color w:val="000000" w:themeColor="hyperlink"/>
                <w:sz w:val="20"/>
                <w:u w:val="single"/>
              </w:rPr>
              <w:hyperlink r:id="rId21">
                <w:r>
                  <w:rPr/>
                  <w:t>ae163405-1bd.pdf</w:t>
                </w:r>
              </w:hyperlink>
            </w:r>
          </w:p>
        </w:tc>
      </w:tr>
      <w:tr>
        <w:tc>
          <w:tcPr>
            <w:tcW w:type="dxa" w:w="5400"/>
          </w:tcPr>
          <w:p>
            <w:r>
              <w:rPr>
                <w:sz w:val="20"/>
              </w:rPr>
              <w:t>Northland Arboretum Letter of Support</w:t>
            </w:r>
          </w:p>
        </w:tc>
        <w:tc>
          <w:tcPr>
            <w:tcW w:type="dxa" w:w="5400"/>
          </w:tcPr>
          <w:p>
            <w:r>
              <w:rPr>
                <w:sz w:val="20"/>
              </w:rPr>
            </w:r>
            <w:r>
              <w:rPr>
                <w:color w:val="000000" w:themeColor="hyperlink"/>
                <w:sz w:val="20"/>
                <w:u w:val="single"/>
              </w:rPr>
              <w:hyperlink r:id="rId22">
                <w:r>
                  <w:rPr/>
                  <w:t>97a8afe0-eda.pdf</w:t>
                </w:r>
              </w:hyperlink>
            </w:r>
          </w:p>
        </w:tc>
      </w:tr>
      <w:tr>
        <w:tc>
          <w:tcPr>
            <w:tcW w:type="dxa" w:w="5400"/>
          </w:tcPr>
          <w:p>
            <w:r>
              <w:rPr>
                <w:sz w:val="20"/>
              </w:rPr>
              <w:t>Cass SWCD Letter of Support</w:t>
            </w:r>
          </w:p>
        </w:tc>
        <w:tc>
          <w:tcPr>
            <w:tcW w:type="dxa" w:w="5400"/>
          </w:tcPr>
          <w:p>
            <w:r>
              <w:rPr>
                <w:sz w:val="20"/>
              </w:rPr>
            </w:r>
            <w:r>
              <w:rPr>
                <w:color w:val="000000" w:themeColor="hyperlink"/>
                <w:sz w:val="20"/>
                <w:u w:val="single"/>
              </w:rPr>
              <w:hyperlink r:id="rId23">
                <w:r>
                  <w:rPr/>
                  <w:t>7dd507a7-f04.pdf</w:t>
                </w:r>
              </w:hyperlink>
            </w:r>
          </w:p>
        </w:tc>
      </w:tr>
      <w:tr>
        <w:tc>
          <w:tcPr>
            <w:tcW w:type="dxa" w:w="5400"/>
          </w:tcPr>
          <w:p>
            <w:r>
              <w:rPr>
                <w:sz w:val="20"/>
              </w:rPr>
              <w:t>Morrison SWCD Letter of Support</w:t>
            </w:r>
          </w:p>
        </w:tc>
        <w:tc>
          <w:tcPr>
            <w:tcW w:type="dxa" w:w="5400"/>
          </w:tcPr>
          <w:p>
            <w:r>
              <w:rPr>
                <w:sz w:val="20"/>
              </w:rPr>
            </w:r>
            <w:r>
              <w:rPr>
                <w:color w:val="000000" w:themeColor="hyperlink"/>
                <w:sz w:val="20"/>
                <w:u w:val="single"/>
              </w:rPr>
              <w:hyperlink r:id="rId24">
                <w:r>
                  <w:rPr/>
                  <w:t>9bfe28fe-27f.pdf</w:t>
                </w:r>
              </w:hyperlink>
            </w:r>
          </w:p>
        </w:tc>
      </w:tr>
      <w:tr>
        <w:tc>
          <w:tcPr>
            <w:tcW w:type="dxa" w:w="5400"/>
          </w:tcPr>
          <w:p>
            <w:r>
              <w:rPr>
                <w:sz w:val="20"/>
              </w:rPr>
              <w:t>Todd SWCD Letter of Support</w:t>
            </w:r>
          </w:p>
        </w:tc>
        <w:tc>
          <w:tcPr>
            <w:tcW w:type="dxa" w:w="5400"/>
          </w:tcPr>
          <w:p>
            <w:r>
              <w:rPr>
                <w:sz w:val="20"/>
              </w:rPr>
            </w:r>
            <w:r>
              <w:rPr>
                <w:color w:val="000000" w:themeColor="hyperlink"/>
                <w:sz w:val="20"/>
                <w:u w:val="single"/>
              </w:rPr>
              <w:hyperlink r:id="rId25">
                <w:r>
                  <w:rPr/>
                  <w:t>1be18ff3-856.pdf</w:t>
                </w:r>
              </w:hyperlink>
            </w:r>
          </w:p>
        </w:tc>
      </w:tr>
      <w:tr>
        <w:tc>
          <w:tcPr>
            <w:tcW w:type="dxa" w:w="5400"/>
          </w:tcPr>
          <w:p>
            <w:r>
              <w:rPr>
                <w:sz w:val="20"/>
              </w:rPr>
              <w:t>City of Pillager Letter of Support</w:t>
            </w:r>
          </w:p>
        </w:tc>
        <w:tc>
          <w:tcPr>
            <w:tcW w:type="dxa" w:w="5400"/>
          </w:tcPr>
          <w:p>
            <w:r>
              <w:rPr>
                <w:sz w:val="20"/>
              </w:rPr>
            </w:r>
            <w:r>
              <w:rPr>
                <w:color w:val="000000" w:themeColor="hyperlink"/>
                <w:sz w:val="20"/>
                <w:u w:val="single"/>
              </w:rPr>
              <w:hyperlink r:id="rId26">
                <w:r>
                  <w:rPr/>
                  <w:t>0f108e0d-9fe.pdf</w:t>
                </w:r>
              </w:hyperlink>
            </w:r>
          </w:p>
        </w:tc>
      </w:tr>
      <w:tr>
        <w:tc>
          <w:tcPr>
            <w:tcW w:type="dxa" w:w="5400"/>
          </w:tcPr>
          <w:p>
            <w:r>
              <w:rPr>
                <w:sz w:val="20"/>
              </w:rPr>
              <w:t>TNC Leverage Support Letter</w:t>
            </w:r>
          </w:p>
        </w:tc>
        <w:tc>
          <w:tcPr>
            <w:tcW w:type="dxa" w:w="5400"/>
          </w:tcPr>
          <w:p>
            <w:r>
              <w:rPr>
                <w:sz w:val="20"/>
              </w:rPr>
            </w:r>
            <w:r>
              <w:rPr>
                <w:color w:val="000000" w:themeColor="hyperlink"/>
                <w:sz w:val="20"/>
                <w:u w:val="single"/>
              </w:rPr>
              <w:hyperlink r:id="rId27">
                <w:r>
                  <w:rPr/>
                  <w:t>58a08bcb-ba1.pdf</w:t>
                </w:r>
              </w:hyperlink>
            </w:r>
          </w:p>
        </w:tc>
      </w:tr>
      <w:tr>
        <w:tc>
          <w:tcPr>
            <w:tcW w:type="dxa" w:w="5400"/>
          </w:tcPr>
          <w:p>
            <w:r>
              <w:rPr>
                <w:sz w:val="20"/>
              </w:rPr>
              <w:t>TNC Qualifications</w:t>
            </w:r>
          </w:p>
        </w:tc>
        <w:tc>
          <w:tcPr>
            <w:tcW w:type="dxa" w:w="5400"/>
          </w:tcPr>
          <w:p>
            <w:r>
              <w:rPr>
                <w:sz w:val="20"/>
              </w:rPr>
            </w:r>
            <w:r>
              <w:rPr>
                <w:color w:val="000000" w:themeColor="hyperlink"/>
                <w:sz w:val="20"/>
                <w:u w:val="single"/>
              </w:rPr>
              <w:hyperlink r:id="rId28">
                <w:r>
                  <w:rPr/>
                  <w:t>bf3b2bcd-2d3.pdf</w:t>
                </w:r>
              </w:hyperlink>
            </w:r>
          </w:p>
        </w:tc>
      </w:tr>
      <w:tr>
        <w:tc>
          <w:tcPr>
            <w:tcW w:type="dxa" w:w="5400"/>
          </w:tcPr>
          <w:p>
            <w:r>
              <w:rPr>
                <w:sz w:val="20"/>
              </w:rPr>
              <w:t>Background Check Certification Form ENTF Crow Wing SWCD</w:t>
            </w:r>
          </w:p>
        </w:tc>
        <w:tc>
          <w:tcPr>
            <w:tcW w:type="dxa" w:w="5400"/>
          </w:tcPr>
          <w:p>
            <w:r>
              <w:rPr>
                <w:sz w:val="20"/>
              </w:rPr>
            </w:r>
            <w:r>
              <w:rPr>
                <w:color w:val="000000" w:themeColor="hyperlink"/>
                <w:sz w:val="20"/>
                <w:u w:val="single"/>
              </w:rPr>
              <w:hyperlink r:id="rId29">
                <w:r>
                  <w:rPr/>
                  <w:t>6ba91459-87e.pdf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The SWCD, TNC, and GRG adjusted both total acres of activities and budget to scale the project. GRG zeroed out the Lake Alexander parcel; reduced the scope of the DMA sites from one to two units; and scaled the Scenic River Savanna project. Note that the Scenic River Savanna project has relatively fixed labor costs for RFP and subcontract, so the price per acre went up some due to loss of economy of scale; this economy of scale should be recovered when the project is ultimately completed on all acres.</w:t>
        <w:br/>
        <w:br/>
        <w:t>10.09.20- made requested adjustment to the work plan. I am not sure why but the reporting schedule does not show up in the word version of Aug 1 and Feb 1  it shows up as June 1 and Dec 1 even thou I selected Aug 1 and Feb 1.</w:t>
        <w:br/>
        <w:br/>
        <w:t xml:space="preserve">10.22.20-updated language on the FSIA as state wide accepted protection category. I would like to follow up with you on via phone or video conference. MN DNR John Carlson is one that has the numbers on FSIA enrollment. Both the BWSR and DNR have accepted the SFIA as a form of protection due the fact so few people actual get out of the program long term. </w:t>
        <w:br/>
        <w:br/>
        <w:t>03.09.21- Updated Reporting deadlines to Feb 1 and Aug 1</w:t>
        <w:br/>
        <w:t xml:space="preserve">Let me know if there is time to talk through this. The word count so tight in the activities/milestone hard to explain everything. Also in 2015 LCCMR allowed us to do this same program. </w:t>
        <w:br/>
        <w:br/>
        <w:t>Thank you.</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b880e2ab-817.pdf" TargetMode="External"/><Relationship Id="rId18" Type="http://schemas.openxmlformats.org/officeDocument/2006/relationships/hyperlink" Target="https://lccmrprojectmgmt.leg.mn/media/attachments/aa30f067-a86.pdf" TargetMode="External"/><Relationship Id="rId19" Type="http://schemas.openxmlformats.org/officeDocument/2006/relationships/hyperlink" Target="https://lccmrprojectmgmt.leg.mn/media/attachments/2e3fb413-e92.doc" TargetMode="External"/><Relationship Id="rId20" Type="http://schemas.openxmlformats.org/officeDocument/2006/relationships/hyperlink" Target="https://lccmrprojectmgmt.leg.mn/media/attachments/67eeb09b-5d7.pdf" TargetMode="External"/><Relationship Id="rId21" Type="http://schemas.openxmlformats.org/officeDocument/2006/relationships/hyperlink" Target="https://lccmrprojectmgmt.leg.mn/media/attachments/ae163405-1bd.pdf" TargetMode="External"/><Relationship Id="rId22" Type="http://schemas.openxmlformats.org/officeDocument/2006/relationships/hyperlink" Target="https://lccmrprojectmgmt.leg.mn/media/attachments/97a8afe0-eda.pdf" TargetMode="External"/><Relationship Id="rId23" Type="http://schemas.openxmlformats.org/officeDocument/2006/relationships/hyperlink" Target="https://lccmrprojectmgmt.leg.mn/media/attachments/7dd507a7-f04.pdf" TargetMode="External"/><Relationship Id="rId24" Type="http://schemas.openxmlformats.org/officeDocument/2006/relationships/hyperlink" Target="https://lccmrprojectmgmt.leg.mn/media/attachments/9bfe28fe-27f.pdf" TargetMode="External"/><Relationship Id="rId25" Type="http://schemas.openxmlformats.org/officeDocument/2006/relationships/hyperlink" Target="https://lccmrprojectmgmt.leg.mn/media/attachments/1be18ff3-856.pdf" TargetMode="External"/><Relationship Id="rId26" Type="http://schemas.openxmlformats.org/officeDocument/2006/relationships/hyperlink" Target="https://lccmrprojectmgmt.leg.mn/media/attachments/0f108e0d-9fe.pdf" TargetMode="External"/><Relationship Id="rId27" Type="http://schemas.openxmlformats.org/officeDocument/2006/relationships/hyperlink" Target="https://lccmrprojectmgmt.leg.mn/media/attachments/58a08bcb-ba1.pdf" TargetMode="External"/><Relationship Id="rId28" Type="http://schemas.openxmlformats.org/officeDocument/2006/relationships/hyperlink" Target="https://lccmrprojectmgmt.leg.mn/media/attachments/bf3b2bcd-2d3.pdf" TargetMode="External"/><Relationship Id="rId29" Type="http://schemas.openxmlformats.org/officeDocument/2006/relationships/hyperlink" Target="https://lccmrprojectmgmt.leg.mn/media/attachments/6ba91459-87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Camp Ripley Sentinel Landscape Forest Restoration And Enhancements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