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FE55C6" w14:textId="14EA067F" w:rsidR="004A3873" w:rsidRPr="008C73DD" w:rsidRDefault="004A3873" w:rsidP="004A3873">
      <w:pPr>
        <w:pStyle w:val="Title"/>
        <w:jc w:val="center"/>
        <w:rPr>
          <w:rFonts w:asciiTheme="minorHAnsi" w:hAnsiTheme="minorHAnsi" w:cstheme="minorHAnsi"/>
          <w:b/>
          <w:sz w:val="32"/>
          <w:szCs w:val="32"/>
        </w:rPr>
      </w:pPr>
      <w:r w:rsidRPr="008C73DD">
        <w:rPr>
          <w:rFonts w:asciiTheme="minorHAnsi" w:hAnsiTheme="minorHAnsi" w:cstheme="minorHAnsi"/>
          <w:b/>
          <w:sz w:val="32"/>
          <w:szCs w:val="32"/>
        </w:rPr>
        <w:t>Follow-Up Questions and Answers from LCCMR Presentations, RFP 2022</w:t>
      </w:r>
    </w:p>
    <w:p w14:paraId="7107E364" w14:textId="77777777" w:rsidR="004A3873" w:rsidRPr="004A3873" w:rsidRDefault="004A3873" w:rsidP="004A3873"/>
    <w:tbl>
      <w:tblPr>
        <w:tblStyle w:val="TableGridLight"/>
        <w:tblW w:w="0" w:type="auto"/>
        <w:tblLook w:val="04A0" w:firstRow="1" w:lastRow="0" w:firstColumn="1" w:lastColumn="0" w:noHBand="0" w:noVBand="1"/>
        <w:tblCaption w:val="Table of Follow-Up Questions and Answers from LCCMR Presentations, RFP 2022"/>
        <w:tblDescription w:val="This is a three column, 16 row table containing the questions commission members asked of presenters during 2022 presentations. The answers and supporting details are included. The first column contains the title and project number, the middle column lists the question asked, and the final column lists the answer or answers provided by the presenters, their relevant agencies, House and Senate staff, or LCCMR staff.  "/>
      </w:tblPr>
      <w:tblGrid>
        <w:gridCol w:w="3685"/>
        <w:gridCol w:w="3060"/>
        <w:gridCol w:w="7380"/>
      </w:tblGrid>
      <w:tr w:rsidR="007C56A0" w:rsidRPr="00723AA6" w14:paraId="271D9CEF" w14:textId="77777777" w:rsidTr="00794025">
        <w:trPr>
          <w:tblHeader/>
        </w:trPr>
        <w:tc>
          <w:tcPr>
            <w:tcW w:w="3685" w:type="dxa"/>
          </w:tcPr>
          <w:p w14:paraId="339AE0E6" w14:textId="77777777" w:rsidR="007C56A0" w:rsidRPr="00723AA6" w:rsidRDefault="007C56A0" w:rsidP="007C56A0">
            <w:pPr>
              <w:pStyle w:val="Heading1"/>
              <w:outlineLvl w:val="0"/>
              <w:rPr>
                <w:rFonts w:asciiTheme="minorHAnsi" w:hAnsiTheme="minorHAnsi" w:cstheme="minorHAnsi"/>
                <w:b/>
                <w:color w:val="auto"/>
                <w:sz w:val="28"/>
                <w:szCs w:val="28"/>
              </w:rPr>
            </w:pPr>
            <w:r w:rsidRPr="00723AA6">
              <w:rPr>
                <w:rFonts w:asciiTheme="minorHAnsi" w:hAnsiTheme="minorHAnsi" w:cstheme="minorHAnsi"/>
                <w:b/>
                <w:color w:val="auto"/>
                <w:sz w:val="28"/>
                <w:szCs w:val="28"/>
              </w:rPr>
              <w:t>Project Number and Title</w:t>
            </w:r>
            <w:r w:rsidR="00E570E5" w:rsidRPr="00723AA6">
              <w:rPr>
                <w:rFonts w:asciiTheme="minorHAnsi" w:hAnsiTheme="minorHAnsi" w:cstheme="minorHAnsi"/>
                <w:b/>
                <w:color w:val="auto"/>
                <w:sz w:val="28"/>
                <w:szCs w:val="28"/>
              </w:rPr>
              <w:t xml:space="preserve"> (in order of project number)</w:t>
            </w:r>
          </w:p>
        </w:tc>
        <w:tc>
          <w:tcPr>
            <w:tcW w:w="3060" w:type="dxa"/>
            <w:vAlign w:val="bottom"/>
          </w:tcPr>
          <w:p w14:paraId="57B29DB0" w14:textId="77777777" w:rsidR="007C56A0" w:rsidRPr="00723AA6" w:rsidRDefault="007C56A0" w:rsidP="007C56A0">
            <w:pPr>
              <w:pStyle w:val="Heading1"/>
              <w:outlineLvl w:val="0"/>
              <w:rPr>
                <w:rFonts w:asciiTheme="minorHAnsi" w:hAnsiTheme="minorHAnsi" w:cstheme="minorHAnsi"/>
                <w:b/>
                <w:color w:val="auto"/>
                <w:sz w:val="28"/>
                <w:szCs w:val="28"/>
              </w:rPr>
            </w:pPr>
            <w:r w:rsidRPr="00723AA6">
              <w:rPr>
                <w:rFonts w:asciiTheme="minorHAnsi" w:hAnsiTheme="minorHAnsi" w:cstheme="minorHAnsi"/>
                <w:b/>
                <w:color w:val="auto"/>
                <w:sz w:val="28"/>
                <w:szCs w:val="28"/>
              </w:rPr>
              <w:t xml:space="preserve">Question </w:t>
            </w:r>
          </w:p>
        </w:tc>
        <w:tc>
          <w:tcPr>
            <w:tcW w:w="7380" w:type="dxa"/>
            <w:vAlign w:val="bottom"/>
          </w:tcPr>
          <w:p w14:paraId="7A58435F" w14:textId="77777777" w:rsidR="007C56A0" w:rsidRPr="00723AA6" w:rsidRDefault="007C56A0" w:rsidP="007C56A0">
            <w:pPr>
              <w:pStyle w:val="Heading1"/>
              <w:outlineLvl w:val="0"/>
              <w:rPr>
                <w:rFonts w:asciiTheme="minorHAnsi" w:hAnsiTheme="minorHAnsi" w:cstheme="minorHAnsi"/>
                <w:b/>
                <w:color w:val="auto"/>
                <w:sz w:val="28"/>
                <w:szCs w:val="28"/>
              </w:rPr>
            </w:pPr>
            <w:r w:rsidRPr="00723AA6">
              <w:rPr>
                <w:rFonts w:asciiTheme="minorHAnsi" w:hAnsiTheme="minorHAnsi" w:cstheme="minorHAnsi"/>
                <w:b/>
                <w:color w:val="auto"/>
                <w:sz w:val="28"/>
                <w:szCs w:val="28"/>
              </w:rPr>
              <w:t xml:space="preserve">Answer </w:t>
            </w:r>
          </w:p>
        </w:tc>
      </w:tr>
      <w:tr w:rsidR="005147B0" w:rsidRPr="00723AA6" w14:paraId="2628A2E5" w14:textId="77777777" w:rsidTr="00794025">
        <w:tc>
          <w:tcPr>
            <w:tcW w:w="3685" w:type="dxa"/>
          </w:tcPr>
          <w:p w14:paraId="361A3565" w14:textId="77777777" w:rsidR="005147B0" w:rsidRPr="00723AA6" w:rsidRDefault="005147B0" w:rsidP="005147B0">
            <w:pPr>
              <w:rPr>
                <w:rFonts w:cstheme="minorHAnsi"/>
              </w:rPr>
            </w:pPr>
            <w:r w:rsidRPr="00723AA6">
              <w:rPr>
                <w:rFonts w:cstheme="minorHAnsi"/>
              </w:rPr>
              <w:t xml:space="preserve">2022-056: </w:t>
            </w:r>
            <w:r w:rsidRPr="00723AA6">
              <w:rPr>
                <w:rFonts w:cstheme="minorHAnsi"/>
                <w:shd w:val="clear" w:color="auto" w:fill="FFFFFF"/>
              </w:rPr>
              <w:t>Unsewered Area Pilot Program: NE MN Project Facilitator</w:t>
            </w:r>
          </w:p>
        </w:tc>
        <w:tc>
          <w:tcPr>
            <w:tcW w:w="3060" w:type="dxa"/>
          </w:tcPr>
          <w:p w14:paraId="267F42DA" w14:textId="77777777" w:rsidR="005147B0" w:rsidRPr="00723AA6" w:rsidRDefault="005A1DA9">
            <w:pPr>
              <w:rPr>
                <w:rFonts w:cstheme="minorHAnsi"/>
              </w:rPr>
            </w:pPr>
            <w:r w:rsidRPr="00723AA6">
              <w:rPr>
                <w:rFonts w:cstheme="minorHAnsi"/>
              </w:rPr>
              <w:t xml:space="preserve">What communities/counties are struggling with unsewered areas and/or failing septic systems? </w:t>
            </w:r>
          </w:p>
        </w:tc>
        <w:tc>
          <w:tcPr>
            <w:tcW w:w="7380" w:type="dxa"/>
          </w:tcPr>
          <w:p w14:paraId="7B3472E5" w14:textId="77777777" w:rsidR="005147B0" w:rsidRPr="00723AA6" w:rsidRDefault="005147B0" w:rsidP="005A1DA9">
            <w:pPr>
              <w:rPr>
                <w:rFonts w:cstheme="minorHAnsi"/>
              </w:rPr>
            </w:pPr>
            <w:r w:rsidRPr="00723AA6">
              <w:rPr>
                <w:rFonts w:cstheme="minorHAnsi"/>
              </w:rPr>
              <w:t xml:space="preserve">Please see attached PDFs provided by MPCA for map and a list of unsewered communities by county </w:t>
            </w:r>
          </w:p>
        </w:tc>
      </w:tr>
      <w:tr w:rsidR="007C56A0" w:rsidRPr="00723AA6" w14:paraId="4D0C0C9C" w14:textId="77777777" w:rsidTr="00794025">
        <w:tc>
          <w:tcPr>
            <w:tcW w:w="3685" w:type="dxa"/>
          </w:tcPr>
          <w:p w14:paraId="7FFDEDA6" w14:textId="77777777" w:rsidR="00E570E5" w:rsidRPr="00723AA6" w:rsidRDefault="00E570E5" w:rsidP="00E570E5">
            <w:pPr>
              <w:rPr>
                <w:rFonts w:cstheme="minorHAnsi"/>
              </w:rPr>
            </w:pPr>
            <w:r w:rsidRPr="00723AA6">
              <w:rPr>
                <w:rFonts w:cstheme="minorHAnsi"/>
              </w:rPr>
              <w:t>2022-058: Pollinator Habitat Pilot Project at Closed Landfills</w:t>
            </w:r>
          </w:p>
          <w:p w14:paraId="4B92FDED" w14:textId="77777777" w:rsidR="007C56A0" w:rsidRPr="00723AA6" w:rsidRDefault="007C56A0">
            <w:pPr>
              <w:rPr>
                <w:rFonts w:cstheme="minorHAnsi"/>
              </w:rPr>
            </w:pPr>
          </w:p>
        </w:tc>
        <w:tc>
          <w:tcPr>
            <w:tcW w:w="3060" w:type="dxa"/>
          </w:tcPr>
          <w:p w14:paraId="61245A6B" w14:textId="77777777" w:rsidR="007C56A0" w:rsidRPr="00723AA6" w:rsidRDefault="00E570E5">
            <w:pPr>
              <w:rPr>
                <w:rFonts w:cstheme="minorHAnsi"/>
              </w:rPr>
            </w:pPr>
            <w:r w:rsidRPr="00723AA6">
              <w:rPr>
                <w:rFonts w:cstheme="minorHAnsi"/>
              </w:rPr>
              <w:t>Why does MPCA not have the statutory authority to implement pollinator plantings at closed landfills?</w:t>
            </w:r>
          </w:p>
        </w:tc>
        <w:tc>
          <w:tcPr>
            <w:tcW w:w="7380" w:type="dxa"/>
          </w:tcPr>
          <w:p w14:paraId="4AAD953C" w14:textId="77777777" w:rsidR="00E570E5" w:rsidRPr="00723AA6" w:rsidRDefault="00E570E5" w:rsidP="00E570E5">
            <w:pPr>
              <w:pStyle w:val="ListParagraph"/>
              <w:numPr>
                <w:ilvl w:val="0"/>
                <w:numId w:val="1"/>
              </w:numPr>
              <w:rPr>
                <w:rFonts w:cstheme="minorHAnsi"/>
              </w:rPr>
            </w:pPr>
            <w:r w:rsidRPr="00723AA6">
              <w:rPr>
                <w:rFonts w:cstheme="minorHAnsi"/>
                <w:b/>
              </w:rPr>
              <w:t>Ben Stanley, Senate Counsel:</w:t>
            </w:r>
            <w:r w:rsidRPr="00723AA6">
              <w:rPr>
                <w:rFonts w:cstheme="minorHAnsi"/>
              </w:rPr>
              <w:t xml:space="preserve"> The short answer is that if the commission recommends appropriating ENRTF money for this project and the legislature ends up appropriating money for it then this appropriation would constitute sufficient authority by itself to move forward with </w:t>
            </w:r>
            <w:r w:rsidRPr="00723AA6">
              <w:rPr>
                <w:rFonts w:cstheme="minorHAnsi"/>
                <w:b/>
                <w:bCs/>
                <w:i/>
                <w:iCs/>
              </w:rPr>
              <w:t>this specific project</w:t>
            </w:r>
            <w:r w:rsidRPr="00723AA6">
              <w:rPr>
                <w:rFonts w:cstheme="minorHAnsi"/>
              </w:rPr>
              <w:t xml:space="preserve"> and there would be no need for any additional statutory authority. </w:t>
            </w:r>
          </w:p>
          <w:p w14:paraId="0042FAE3" w14:textId="77777777" w:rsidR="00E570E5" w:rsidRPr="00723AA6" w:rsidRDefault="00E570E5" w:rsidP="00E570E5">
            <w:pPr>
              <w:rPr>
                <w:rFonts w:cstheme="minorHAnsi"/>
              </w:rPr>
            </w:pPr>
          </w:p>
          <w:p w14:paraId="3B20AA51" w14:textId="5C7B9CC7" w:rsidR="00E570E5" w:rsidRPr="00723AA6" w:rsidRDefault="00E570E5" w:rsidP="00723AA6">
            <w:pPr>
              <w:ind w:left="436"/>
              <w:rPr>
                <w:rFonts w:cstheme="minorHAnsi"/>
              </w:rPr>
            </w:pPr>
            <w:r w:rsidRPr="00723AA6">
              <w:rPr>
                <w:rFonts w:cstheme="minorHAnsi"/>
              </w:rPr>
              <w:t xml:space="preserve">By contrast, </w:t>
            </w:r>
            <w:r w:rsidR="00CF05F8" w:rsidRPr="00723AA6">
              <w:rPr>
                <w:rFonts w:cstheme="minorHAnsi"/>
              </w:rPr>
              <w:t xml:space="preserve">the MCPA does not have statutory authority to allocate funding toward pollinator habitat reconstruction projects more systematically </w:t>
            </w:r>
            <w:r w:rsidRPr="00723AA6">
              <w:rPr>
                <w:rFonts w:cstheme="minorHAnsi"/>
              </w:rPr>
              <w:t>across all closed landfills</w:t>
            </w:r>
            <w:r w:rsidR="00CF05F8" w:rsidRPr="00723AA6">
              <w:rPr>
                <w:rFonts w:cstheme="minorHAnsi"/>
              </w:rPr>
              <w:t xml:space="preserve">. </w:t>
            </w:r>
            <w:r w:rsidRPr="00723AA6">
              <w:rPr>
                <w:rFonts w:cstheme="minorHAnsi"/>
              </w:rPr>
              <w:t>Funding the broader initiative across multiple closed landfills would require statutory changes and is beyond the scope of the sort of matters that are normally recommended by LCCMR.</w:t>
            </w:r>
          </w:p>
          <w:p w14:paraId="6F32C6E8" w14:textId="77777777" w:rsidR="00EB5F7A" w:rsidRPr="00723AA6" w:rsidRDefault="00EB5F7A" w:rsidP="00EB5F7A">
            <w:pPr>
              <w:ind w:left="450"/>
              <w:rPr>
                <w:rFonts w:cstheme="minorHAnsi"/>
              </w:rPr>
            </w:pPr>
          </w:p>
          <w:p w14:paraId="5BCC2029" w14:textId="0491B8B1" w:rsidR="00723AA6" w:rsidRPr="00723AA6" w:rsidRDefault="00723AA6" w:rsidP="00723AA6">
            <w:pPr>
              <w:pStyle w:val="ListParagraph"/>
              <w:numPr>
                <w:ilvl w:val="0"/>
                <w:numId w:val="1"/>
              </w:numPr>
              <w:rPr>
                <w:rFonts w:cstheme="minorHAnsi"/>
              </w:rPr>
            </w:pPr>
            <w:r w:rsidRPr="00723AA6">
              <w:rPr>
                <w:rFonts w:cstheme="minorHAnsi"/>
                <w:b/>
              </w:rPr>
              <w:t xml:space="preserve">Greta Gauthier, Assistant Commissioner, </w:t>
            </w:r>
            <w:r w:rsidR="00E570E5" w:rsidRPr="00723AA6">
              <w:rPr>
                <w:rFonts w:cstheme="minorHAnsi"/>
                <w:b/>
              </w:rPr>
              <w:t>MPCA:</w:t>
            </w:r>
            <w:r w:rsidR="00E570E5" w:rsidRPr="00723AA6">
              <w:rPr>
                <w:rFonts w:cstheme="minorHAnsi"/>
              </w:rPr>
              <w:t xml:space="preserve"> </w:t>
            </w:r>
            <w:r w:rsidRPr="00723AA6">
              <w:rPr>
                <w:rFonts w:cstheme="minorHAnsi"/>
              </w:rPr>
              <w:t xml:space="preserve">The MPCA’s Closed Landfill Program can develop pollinator habitat on a closed landfill only when such seeding is part of an environmental response action such as installing a new cover.  Otherwise, the agency does not have authority to seed/plant pollinator-friendly species at exiting sites.  Below is the relevant statute, which does not provide authority to plant/seed pollinator-friendly plants at closed landfills.  There are 110 closed landfills across the state. </w:t>
            </w:r>
          </w:p>
          <w:p w14:paraId="40FAA3FB" w14:textId="77777777" w:rsidR="00723AA6" w:rsidRPr="00723AA6" w:rsidRDefault="00723AA6" w:rsidP="00723AA6">
            <w:pPr>
              <w:shd w:val="clear" w:color="auto" w:fill="FFFFFF"/>
              <w:spacing w:line="240" w:lineRule="atLeast"/>
              <w:rPr>
                <w:rFonts w:cstheme="minorHAnsi"/>
                <w:b/>
                <w:bCs/>
                <w:color w:val="1F497D"/>
                <w:sz w:val="24"/>
                <w:szCs w:val="24"/>
              </w:rPr>
            </w:pPr>
          </w:p>
          <w:p w14:paraId="2350EED5" w14:textId="77777777" w:rsidR="00723AA6" w:rsidRPr="00723AA6" w:rsidRDefault="00723AA6" w:rsidP="00723AA6">
            <w:pPr>
              <w:shd w:val="clear" w:color="auto" w:fill="FFFFFF"/>
              <w:spacing w:line="240" w:lineRule="atLeast"/>
              <w:ind w:left="720"/>
              <w:rPr>
                <w:rFonts w:cstheme="minorHAnsi"/>
                <w:b/>
                <w:bCs/>
                <w:color w:val="000000"/>
              </w:rPr>
            </w:pPr>
            <w:r w:rsidRPr="00723AA6">
              <w:rPr>
                <w:rFonts w:cstheme="minorHAnsi"/>
                <w:b/>
                <w:bCs/>
                <w:color w:val="000000"/>
              </w:rPr>
              <w:t>115B.40 PROGRAM.</w:t>
            </w:r>
          </w:p>
          <w:p w14:paraId="72E72376" w14:textId="77777777" w:rsidR="00723AA6" w:rsidRPr="00723AA6" w:rsidRDefault="00F17835" w:rsidP="00723AA6">
            <w:pPr>
              <w:shd w:val="clear" w:color="auto" w:fill="FFFFFF"/>
              <w:ind w:left="720"/>
              <w:rPr>
                <w:rFonts w:cstheme="minorHAnsi"/>
                <w:color w:val="000000"/>
              </w:rPr>
            </w:pPr>
            <w:hyperlink r:id="rId8" w:anchor="stat.115B.40.1" w:tooltip="Link to Subdivision 1." w:history="1">
              <w:r w:rsidR="00723AA6" w:rsidRPr="00723AA6">
                <w:rPr>
                  <w:rStyle w:val="Hyperlink"/>
                  <w:rFonts w:cstheme="minorHAnsi"/>
                  <w:b/>
                  <w:bCs/>
                  <w:color w:val="AAAAAA"/>
                </w:rPr>
                <w:t>§</w:t>
              </w:r>
            </w:hyperlink>
            <w:r w:rsidR="00723AA6" w:rsidRPr="00723AA6">
              <w:rPr>
                <w:rFonts w:cstheme="minorHAnsi"/>
                <w:color w:val="000000"/>
              </w:rPr>
              <w:t xml:space="preserve"> Subdivision 1.</w:t>
            </w:r>
            <w:r w:rsidR="00723AA6" w:rsidRPr="00723AA6">
              <w:rPr>
                <w:rFonts w:cstheme="minorHAnsi"/>
                <w:b/>
                <w:bCs/>
                <w:color w:val="000000"/>
              </w:rPr>
              <w:t>Response to releases.</w:t>
            </w:r>
          </w:p>
          <w:p w14:paraId="79AE7172" w14:textId="77777777" w:rsidR="00377B73" w:rsidRDefault="00723AA6" w:rsidP="0047177F">
            <w:pPr>
              <w:shd w:val="clear" w:color="auto" w:fill="FFFFFF"/>
              <w:rPr>
                <w:rFonts w:cstheme="minorHAnsi"/>
                <w:color w:val="000000"/>
              </w:rPr>
            </w:pPr>
            <w:r w:rsidRPr="00723AA6">
              <w:rPr>
                <w:rFonts w:cstheme="minorHAnsi"/>
                <w:color w:val="000000"/>
              </w:rPr>
              <w:t>The commissioner may take any environmental response action, including emergency action, related to a release or threatened</w:t>
            </w:r>
            <w:r w:rsidR="0047177F">
              <w:rPr>
                <w:rFonts w:cstheme="minorHAnsi"/>
                <w:color w:val="000000"/>
              </w:rPr>
              <w:t xml:space="preserve"> </w:t>
            </w:r>
          </w:p>
          <w:p w14:paraId="1E3E4F0E" w14:textId="22BE4D76" w:rsidR="0047177F" w:rsidRPr="003E6EA6" w:rsidRDefault="0047177F" w:rsidP="0047177F">
            <w:pPr>
              <w:shd w:val="clear" w:color="auto" w:fill="FFFFFF"/>
              <w:rPr>
                <w:rFonts w:cstheme="minorHAnsi"/>
                <w:i/>
                <w:color w:val="000000"/>
                <w:sz w:val="20"/>
                <w:szCs w:val="20"/>
              </w:rPr>
            </w:pPr>
            <w:r w:rsidRPr="003E6EA6">
              <w:rPr>
                <w:rFonts w:cstheme="minorHAnsi"/>
                <w:i/>
                <w:color w:val="000000"/>
                <w:sz w:val="20"/>
                <w:szCs w:val="20"/>
              </w:rPr>
              <w:t>(continued next page) </w:t>
            </w:r>
          </w:p>
          <w:p w14:paraId="0A059830" w14:textId="2ECA41E1" w:rsidR="00E570E5" w:rsidRPr="00723AA6" w:rsidRDefault="00723AA6" w:rsidP="00D90267">
            <w:pPr>
              <w:shd w:val="clear" w:color="auto" w:fill="FFFFFF"/>
              <w:spacing w:before="48" w:after="120"/>
              <w:ind w:left="720"/>
              <w:rPr>
                <w:rFonts w:cstheme="minorHAnsi"/>
              </w:rPr>
            </w:pPr>
            <w:r w:rsidRPr="00723AA6">
              <w:rPr>
                <w:rFonts w:cstheme="minorHAnsi"/>
                <w:color w:val="000000"/>
              </w:rPr>
              <w:lastRenderedPageBreak/>
              <w:t>release of a hazardous substance,</w:t>
            </w:r>
            <w:r w:rsidRPr="00723AA6">
              <w:rPr>
                <w:rFonts w:cstheme="minorHAnsi"/>
                <w:color w:val="000000"/>
                <w:sz w:val="25"/>
                <w:szCs w:val="25"/>
              </w:rPr>
              <w:t xml:space="preserve"> </w:t>
            </w:r>
            <w:r w:rsidRPr="00723AA6">
              <w:rPr>
                <w:rFonts w:cstheme="minorHAnsi"/>
                <w:color w:val="000000"/>
              </w:rPr>
              <w:t>pollutant or contaminant, or decomposition gas from a qualified facility that the commissioner deems reasonable and necessary to protect the public health or welfare or the environment under the standards required in sections </w:t>
            </w:r>
            <w:hyperlink r:id="rId9" w:history="1">
              <w:r w:rsidRPr="00723AA6">
                <w:rPr>
                  <w:rStyle w:val="Hyperlink"/>
                  <w:rFonts w:cstheme="minorHAnsi"/>
                  <w:color w:val="2B6DAD"/>
                </w:rPr>
                <w:t>115B.01</w:t>
              </w:r>
            </w:hyperlink>
            <w:r w:rsidRPr="00723AA6">
              <w:rPr>
                <w:rFonts w:cstheme="minorHAnsi"/>
                <w:color w:val="000000"/>
              </w:rPr>
              <w:t> to </w:t>
            </w:r>
            <w:hyperlink r:id="rId10" w:history="1">
              <w:r w:rsidRPr="00723AA6">
                <w:rPr>
                  <w:rStyle w:val="Hyperlink"/>
                  <w:rFonts w:cstheme="minorHAnsi"/>
                  <w:color w:val="2B6DAD"/>
                </w:rPr>
                <w:t>115B.20</w:t>
              </w:r>
            </w:hyperlink>
            <w:r w:rsidRPr="00723AA6">
              <w:rPr>
                <w:rFonts w:cstheme="minorHAnsi"/>
                <w:color w:val="000000"/>
              </w:rPr>
              <w:t>. The commissioner may undertake studies necessary to determine reasonable and necessary environmental response actions at individual facilities. The commissioner may develop general work plans for environmental studies, presumptive remedies, and generic remedial designs for facilities with similar characteristics. Prior to selecting environmental response actions for a facility, the commissioner shall hold at least one public informational meeting near the facility and provide for receiving and responding to comments related to the selection. The commissioner shall design, implement, and provide oversight consistent with the actions selected under this subdivision.</w:t>
            </w:r>
          </w:p>
          <w:p w14:paraId="13AC1E1D" w14:textId="77777777" w:rsidR="007C56A0" w:rsidRPr="00723AA6" w:rsidRDefault="007C56A0">
            <w:pPr>
              <w:rPr>
                <w:rFonts w:cstheme="minorHAnsi"/>
              </w:rPr>
            </w:pPr>
          </w:p>
        </w:tc>
      </w:tr>
      <w:tr w:rsidR="007C56A0" w:rsidRPr="00723AA6" w14:paraId="3F9E2A8A" w14:textId="77777777" w:rsidTr="00794025">
        <w:tc>
          <w:tcPr>
            <w:tcW w:w="3685" w:type="dxa"/>
          </w:tcPr>
          <w:p w14:paraId="624CA0D9" w14:textId="77777777" w:rsidR="00E570E5" w:rsidRPr="00723AA6" w:rsidRDefault="00E570E5" w:rsidP="00E570E5">
            <w:pPr>
              <w:rPr>
                <w:rFonts w:cstheme="minorHAnsi"/>
              </w:rPr>
            </w:pPr>
            <w:r w:rsidRPr="00723AA6">
              <w:rPr>
                <w:rFonts w:cstheme="minorHAnsi"/>
              </w:rPr>
              <w:lastRenderedPageBreak/>
              <w:t>2022-111: Minnesota State Parks and State Trails Acquisitions</w:t>
            </w:r>
          </w:p>
          <w:p w14:paraId="30C39F6A" w14:textId="77777777" w:rsidR="007C56A0" w:rsidRPr="00723AA6" w:rsidRDefault="007C56A0" w:rsidP="00E570E5">
            <w:pPr>
              <w:rPr>
                <w:rFonts w:cstheme="minorHAnsi"/>
              </w:rPr>
            </w:pPr>
          </w:p>
        </w:tc>
        <w:tc>
          <w:tcPr>
            <w:tcW w:w="3060" w:type="dxa"/>
          </w:tcPr>
          <w:p w14:paraId="5BC785A4" w14:textId="77777777" w:rsidR="00E570E5" w:rsidRPr="00723AA6" w:rsidRDefault="00E570E5" w:rsidP="00E570E5">
            <w:pPr>
              <w:rPr>
                <w:rFonts w:cstheme="minorHAnsi"/>
                <w:sz w:val="21"/>
                <w:szCs w:val="21"/>
              </w:rPr>
            </w:pPr>
            <w:r w:rsidRPr="00723AA6">
              <w:rPr>
                <w:rFonts w:cstheme="minorHAnsi"/>
                <w:sz w:val="21"/>
                <w:szCs w:val="21"/>
              </w:rPr>
              <w:t>What is the dollar threshold on parcels that would require two appraisals? </w:t>
            </w:r>
          </w:p>
          <w:p w14:paraId="105EC025" w14:textId="77777777" w:rsidR="007C56A0" w:rsidRPr="00723AA6" w:rsidRDefault="007C56A0" w:rsidP="00E570E5">
            <w:pPr>
              <w:rPr>
                <w:rFonts w:cstheme="minorHAnsi"/>
              </w:rPr>
            </w:pPr>
          </w:p>
        </w:tc>
        <w:tc>
          <w:tcPr>
            <w:tcW w:w="7380" w:type="dxa"/>
          </w:tcPr>
          <w:p w14:paraId="1DFDFD92" w14:textId="77777777" w:rsidR="00E570E5" w:rsidRPr="00723AA6" w:rsidRDefault="00E570E5" w:rsidP="00E570E5">
            <w:pPr>
              <w:rPr>
                <w:rFonts w:cstheme="minorHAnsi"/>
                <w:sz w:val="21"/>
                <w:szCs w:val="21"/>
              </w:rPr>
            </w:pPr>
            <w:r w:rsidRPr="00723AA6">
              <w:rPr>
                <w:rFonts w:cstheme="minorHAnsi"/>
                <w:sz w:val="21"/>
                <w:szCs w:val="21"/>
              </w:rPr>
              <w:t xml:space="preserve">If the appraised value is greater than $10 million, two appraisals are required and the DNR must be involved in writing the appraisal scope of work to be provided to the appraisers. </w:t>
            </w:r>
          </w:p>
          <w:p w14:paraId="33F5915F" w14:textId="14109761" w:rsidR="00E570E5" w:rsidRPr="00723AA6" w:rsidRDefault="00E570E5" w:rsidP="00E570E5">
            <w:pPr>
              <w:rPr>
                <w:rFonts w:cstheme="minorHAnsi"/>
                <w:sz w:val="21"/>
                <w:szCs w:val="21"/>
              </w:rPr>
            </w:pPr>
            <w:r w:rsidRPr="00723AA6">
              <w:rPr>
                <w:rFonts w:cstheme="minorHAnsi"/>
                <w:sz w:val="21"/>
                <w:szCs w:val="21"/>
              </w:rPr>
              <w:t xml:space="preserve">The dollar amount indicated can be found </w:t>
            </w:r>
            <w:hyperlink r:id="rId11" w:history="1">
              <w:r w:rsidRPr="00723AA6">
                <w:rPr>
                  <w:rStyle w:val="Hyperlink"/>
                  <w:rFonts w:cstheme="minorHAnsi"/>
                  <w:sz w:val="21"/>
                  <w:szCs w:val="21"/>
                </w:rPr>
                <w:t>here</w:t>
              </w:r>
            </w:hyperlink>
            <w:r w:rsidRPr="00723AA6">
              <w:rPr>
                <w:rFonts w:cstheme="minorHAnsi"/>
                <w:sz w:val="21"/>
                <w:szCs w:val="21"/>
              </w:rPr>
              <w:t xml:space="preserve">, page 2, Valuation/Appraisal, </w:t>
            </w:r>
            <w:r w:rsidR="00C24F55" w:rsidRPr="00723AA6">
              <w:rPr>
                <w:rFonts w:cstheme="minorHAnsi"/>
                <w:sz w:val="21"/>
                <w:szCs w:val="21"/>
              </w:rPr>
              <w:t xml:space="preserve">paragraph </w:t>
            </w:r>
            <w:r w:rsidRPr="00723AA6">
              <w:rPr>
                <w:rFonts w:cstheme="minorHAnsi"/>
                <w:sz w:val="21"/>
                <w:szCs w:val="21"/>
              </w:rPr>
              <w:t>c. This document can also be found attached to this email</w:t>
            </w:r>
            <w:r w:rsidR="005A1DA9" w:rsidRPr="00723AA6">
              <w:rPr>
                <w:rFonts w:cstheme="minorHAnsi"/>
                <w:sz w:val="21"/>
                <w:szCs w:val="21"/>
              </w:rPr>
              <w:t xml:space="preserve"> [see attachments]</w:t>
            </w:r>
            <w:r w:rsidRPr="00723AA6">
              <w:rPr>
                <w:rFonts w:cstheme="minorHAnsi"/>
                <w:sz w:val="21"/>
                <w:szCs w:val="21"/>
              </w:rPr>
              <w:t xml:space="preserve">. Section of reference is highlighted in the document. </w:t>
            </w:r>
          </w:p>
          <w:p w14:paraId="6ED6C05A" w14:textId="77777777" w:rsidR="007C56A0" w:rsidRPr="00723AA6" w:rsidRDefault="007C56A0">
            <w:pPr>
              <w:rPr>
                <w:rFonts w:cstheme="minorHAnsi"/>
              </w:rPr>
            </w:pPr>
          </w:p>
        </w:tc>
      </w:tr>
      <w:tr w:rsidR="007C56A0" w:rsidRPr="00723AA6" w14:paraId="45E70F88" w14:textId="77777777" w:rsidTr="00794025">
        <w:tc>
          <w:tcPr>
            <w:tcW w:w="3685" w:type="dxa"/>
          </w:tcPr>
          <w:p w14:paraId="31D2D510" w14:textId="77777777" w:rsidR="00E570E5" w:rsidRPr="00723AA6" w:rsidRDefault="00E570E5" w:rsidP="00E570E5">
            <w:pPr>
              <w:rPr>
                <w:rFonts w:cstheme="minorHAnsi"/>
              </w:rPr>
            </w:pPr>
            <w:r w:rsidRPr="00723AA6">
              <w:rPr>
                <w:rFonts w:cstheme="minorHAnsi"/>
              </w:rPr>
              <w:t>2022-111: Minnesota State Parks and State Trails Acquisitions</w:t>
            </w:r>
          </w:p>
          <w:p w14:paraId="004493FE" w14:textId="77777777" w:rsidR="007C56A0" w:rsidRPr="00723AA6" w:rsidRDefault="007C56A0" w:rsidP="00E570E5">
            <w:pPr>
              <w:rPr>
                <w:rFonts w:cstheme="minorHAnsi"/>
              </w:rPr>
            </w:pPr>
          </w:p>
        </w:tc>
        <w:tc>
          <w:tcPr>
            <w:tcW w:w="3060" w:type="dxa"/>
          </w:tcPr>
          <w:p w14:paraId="61EE2E32" w14:textId="77777777" w:rsidR="00E570E5" w:rsidRPr="00723AA6" w:rsidRDefault="00E570E5" w:rsidP="00E570E5">
            <w:pPr>
              <w:rPr>
                <w:rFonts w:cstheme="minorHAnsi"/>
                <w:sz w:val="21"/>
                <w:szCs w:val="21"/>
              </w:rPr>
            </w:pPr>
            <w:r w:rsidRPr="00723AA6">
              <w:rPr>
                <w:rFonts w:cstheme="minorHAnsi"/>
                <w:sz w:val="21"/>
                <w:szCs w:val="21"/>
              </w:rPr>
              <w:t>Has there ever been any land sold that had LCCMR/ENRTF funds associated with it?</w:t>
            </w:r>
          </w:p>
          <w:p w14:paraId="096F137A" w14:textId="77777777" w:rsidR="007C56A0" w:rsidRPr="00723AA6" w:rsidRDefault="007C56A0" w:rsidP="00E570E5">
            <w:pPr>
              <w:rPr>
                <w:rFonts w:cstheme="minorHAnsi"/>
              </w:rPr>
            </w:pPr>
          </w:p>
        </w:tc>
        <w:tc>
          <w:tcPr>
            <w:tcW w:w="7380" w:type="dxa"/>
          </w:tcPr>
          <w:p w14:paraId="054AF2FC" w14:textId="77777777" w:rsidR="00E570E5" w:rsidRPr="00723AA6" w:rsidRDefault="00E570E5" w:rsidP="00E570E5">
            <w:pPr>
              <w:rPr>
                <w:rFonts w:cstheme="minorHAnsi"/>
                <w:sz w:val="21"/>
                <w:szCs w:val="21"/>
              </w:rPr>
            </w:pPr>
            <w:r w:rsidRPr="00723AA6">
              <w:rPr>
                <w:rFonts w:cstheme="minorHAnsi"/>
                <w:sz w:val="21"/>
                <w:szCs w:val="21"/>
              </w:rPr>
              <w:t>There is no known sale of land with LCCMR/ENRTF funding, but the DNR has released portions of a couple of conservation easements that had ENRTF funding.  One was a very small portion of a Forest Legacy easement and the other was a portion of a Metro Greenways easement in Hennepin County.  In both of those cases, the procedure required by 116P.15, subd. 2 was followed and obtained LCCMR approval for the easement releases and paid back the ENRTF.  The amount paid back reflected the proportional value of the released easement that was acquired with ENRTF.</w:t>
            </w:r>
          </w:p>
          <w:p w14:paraId="275861D9" w14:textId="08F8A81B" w:rsidR="00E570E5" w:rsidRDefault="00377B73" w:rsidP="00377B73">
            <w:pPr>
              <w:shd w:val="clear" w:color="auto" w:fill="FFFFFF"/>
              <w:rPr>
                <w:rFonts w:cstheme="minorHAnsi"/>
                <w:sz w:val="21"/>
                <w:szCs w:val="21"/>
              </w:rPr>
            </w:pPr>
            <w:r w:rsidRPr="003E6EA6">
              <w:rPr>
                <w:rFonts w:cstheme="minorHAnsi"/>
                <w:i/>
                <w:color w:val="000000"/>
                <w:sz w:val="20"/>
                <w:szCs w:val="20"/>
              </w:rPr>
              <w:t xml:space="preserve"> </w:t>
            </w:r>
            <w:r w:rsidR="00E570E5" w:rsidRPr="00723AA6">
              <w:rPr>
                <w:rFonts w:cstheme="minorHAnsi"/>
                <w:sz w:val="21"/>
                <w:szCs w:val="21"/>
              </w:rPr>
              <w:t xml:space="preserve">There are a couple of processes that help ensure that lands with LCCMR/ENRTF are reviewed carefully. </w:t>
            </w:r>
          </w:p>
          <w:p w14:paraId="4655C69D" w14:textId="63B14559" w:rsidR="00377B73" w:rsidRPr="00723AA6" w:rsidRDefault="00377B73" w:rsidP="00377B73">
            <w:pPr>
              <w:shd w:val="clear" w:color="auto" w:fill="FFFFFF"/>
              <w:rPr>
                <w:rFonts w:cstheme="minorHAnsi"/>
                <w:sz w:val="21"/>
                <w:szCs w:val="21"/>
              </w:rPr>
            </w:pPr>
            <w:r w:rsidRPr="003E6EA6">
              <w:rPr>
                <w:rFonts w:cstheme="minorHAnsi"/>
                <w:i/>
                <w:color w:val="000000"/>
                <w:sz w:val="20"/>
                <w:szCs w:val="20"/>
              </w:rPr>
              <w:t>(continued next page) </w:t>
            </w:r>
          </w:p>
          <w:p w14:paraId="04AE936F" w14:textId="77777777" w:rsidR="00E570E5" w:rsidRPr="00723AA6" w:rsidRDefault="00E570E5" w:rsidP="00E570E5">
            <w:pPr>
              <w:pStyle w:val="ListParagraph"/>
              <w:numPr>
                <w:ilvl w:val="0"/>
                <w:numId w:val="2"/>
              </w:numPr>
              <w:contextualSpacing w:val="0"/>
              <w:rPr>
                <w:rFonts w:cstheme="minorHAnsi"/>
                <w:sz w:val="21"/>
                <w:szCs w:val="21"/>
              </w:rPr>
            </w:pPr>
            <w:r w:rsidRPr="00723AA6">
              <w:rPr>
                <w:rFonts w:cstheme="minorHAnsi"/>
                <w:sz w:val="21"/>
                <w:szCs w:val="21"/>
              </w:rPr>
              <w:lastRenderedPageBreak/>
              <w:t xml:space="preserve">All land purchased with LCCMR/ENRTF funding has a Notice of Funding Restriction associated with the acquisition. </w:t>
            </w:r>
          </w:p>
          <w:p w14:paraId="385AB562" w14:textId="77777777" w:rsidR="00E570E5" w:rsidRPr="00723AA6" w:rsidRDefault="00E570E5" w:rsidP="00E570E5">
            <w:pPr>
              <w:pStyle w:val="ListParagraph"/>
              <w:numPr>
                <w:ilvl w:val="0"/>
                <w:numId w:val="2"/>
              </w:numPr>
              <w:contextualSpacing w:val="0"/>
              <w:rPr>
                <w:rFonts w:cstheme="minorHAnsi"/>
                <w:sz w:val="21"/>
                <w:szCs w:val="21"/>
              </w:rPr>
            </w:pPr>
            <w:r w:rsidRPr="00723AA6">
              <w:rPr>
                <w:rFonts w:cstheme="minorHAnsi"/>
                <w:sz w:val="21"/>
                <w:szCs w:val="21"/>
              </w:rPr>
              <w:t>All of our proposed sales conduct a funding review to determine if there are any funding restrictions.</w:t>
            </w:r>
          </w:p>
          <w:p w14:paraId="0AED42F4" w14:textId="7A4F16E6" w:rsidR="00E570E5" w:rsidRPr="00723AA6" w:rsidRDefault="00E570E5" w:rsidP="00E570E5">
            <w:pPr>
              <w:pStyle w:val="ListParagraph"/>
              <w:numPr>
                <w:ilvl w:val="0"/>
                <w:numId w:val="2"/>
              </w:numPr>
              <w:contextualSpacing w:val="0"/>
              <w:rPr>
                <w:rFonts w:cstheme="minorHAnsi"/>
                <w:sz w:val="21"/>
                <w:szCs w:val="21"/>
              </w:rPr>
            </w:pPr>
            <w:r w:rsidRPr="00723AA6">
              <w:rPr>
                <w:rFonts w:cstheme="minorHAnsi"/>
                <w:sz w:val="21"/>
                <w:szCs w:val="21"/>
              </w:rPr>
              <w:t xml:space="preserve">Annually a report on all acquired land with LCCMR/ENRTF is </w:t>
            </w:r>
            <w:r w:rsidR="00C24F55" w:rsidRPr="00723AA6">
              <w:rPr>
                <w:rFonts w:cstheme="minorHAnsi"/>
                <w:sz w:val="21"/>
                <w:szCs w:val="21"/>
              </w:rPr>
              <w:t xml:space="preserve">provided </w:t>
            </w:r>
            <w:r w:rsidRPr="00723AA6">
              <w:rPr>
                <w:rFonts w:cstheme="minorHAnsi"/>
                <w:sz w:val="21"/>
                <w:szCs w:val="21"/>
              </w:rPr>
              <w:t xml:space="preserve">to LCCMR to state if any land has been divested. </w:t>
            </w:r>
          </w:p>
          <w:p w14:paraId="4B2E2FA8" w14:textId="77777777" w:rsidR="007C56A0" w:rsidRPr="00723AA6" w:rsidRDefault="007C56A0">
            <w:pPr>
              <w:rPr>
                <w:rFonts w:cstheme="minorHAnsi"/>
              </w:rPr>
            </w:pPr>
          </w:p>
        </w:tc>
      </w:tr>
      <w:tr w:rsidR="00E570E5" w:rsidRPr="00723AA6" w14:paraId="3FAC3171" w14:textId="77777777" w:rsidTr="00794025">
        <w:tc>
          <w:tcPr>
            <w:tcW w:w="3685" w:type="dxa"/>
          </w:tcPr>
          <w:p w14:paraId="4C4BA388" w14:textId="77777777" w:rsidR="00E570E5" w:rsidRPr="00723AA6" w:rsidRDefault="00E570E5" w:rsidP="00E570E5">
            <w:pPr>
              <w:rPr>
                <w:rFonts w:cstheme="minorHAnsi"/>
              </w:rPr>
            </w:pPr>
            <w:r w:rsidRPr="00723AA6">
              <w:rPr>
                <w:rFonts w:cstheme="minorHAnsi"/>
              </w:rPr>
              <w:lastRenderedPageBreak/>
              <w:t>2022-160: LCCMR Stories: Sharing Minnesota's Biggest Environmental Investment</w:t>
            </w:r>
          </w:p>
          <w:p w14:paraId="0CCD6B0E" w14:textId="77777777" w:rsidR="00E570E5" w:rsidRPr="00723AA6" w:rsidRDefault="00E570E5" w:rsidP="00E570E5">
            <w:pPr>
              <w:rPr>
                <w:rFonts w:cstheme="minorHAnsi"/>
              </w:rPr>
            </w:pPr>
          </w:p>
        </w:tc>
        <w:tc>
          <w:tcPr>
            <w:tcW w:w="3060" w:type="dxa"/>
          </w:tcPr>
          <w:p w14:paraId="3F90B8F9" w14:textId="77777777" w:rsidR="00E570E5" w:rsidRPr="00723AA6" w:rsidRDefault="00E570E5" w:rsidP="00E570E5">
            <w:pPr>
              <w:rPr>
                <w:rFonts w:cstheme="minorHAnsi"/>
              </w:rPr>
            </w:pPr>
            <w:r w:rsidRPr="00723AA6">
              <w:rPr>
                <w:rFonts w:cstheme="minorHAnsi"/>
              </w:rPr>
              <w:t xml:space="preserve">Are there other mechanisms to fund this project, such as a cooperative agreement or a contract? </w:t>
            </w:r>
          </w:p>
        </w:tc>
        <w:tc>
          <w:tcPr>
            <w:tcW w:w="7380" w:type="dxa"/>
          </w:tcPr>
          <w:p w14:paraId="4CAEB104" w14:textId="77777777" w:rsidR="00794025" w:rsidRDefault="00E570E5" w:rsidP="00794025">
            <w:pPr>
              <w:rPr>
                <w:rFonts w:cstheme="minorHAnsi"/>
              </w:rPr>
            </w:pPr>
            <w:r w:rsidRPr="00723AA6">
              <w:rPr>
                <w:rFonts w:cstheme="minorHAnsi"/>
              </w:rPr>
              <w:t>LCCMR staff and SMM proposers met</w:t>
            </w:r>
            <w:r w:rsidR="00C24F55" w:rsidRPr="00723AA6">
              <w:rPr>
                <w:rFonts w:cstheme="minorHAnsi"/>
              </w:rPr>
              <w:t xml:space="preserve"> after the presentation</w:t>
            </w:r>
            <w:r w:rsidRPr="00723AA6">
              <w:rPr>
                <w:rFonts w:cstheme="minorHAnsi"/>
              </w:rPr>
              <w:t xml:space="preserve"> to discuss 2022-160 </w:t>
            </w:r>
            <w:r w:rsidRPr="00723AA6">
              <w:rPr>
                <w:rFonts w:cstheme="minorHAnsi"/>
                <w:i/>
                <w:iCs/>
              </w:rPr>
              <w:t>LCCMR Stories:</w:t>
            </w:r>
            <w:r w:rsidRPr="00723AA6">
              <w:rPr>
                <w:rFonts w:cstheme="minorHAnsi"/>
              </w:rPr>
              <w:t xml:space="preserve"> </w:t>
            </w:r>
            <w:r w:rsidRPr="00723AA6">
              <w:rPr>
                <w:rFonts w:cstheme="minorHAnsi"/>
                <w:i/>
                <w:iCs/>
              </w:rPr>
              <w:t xml:space="preserve">Sharing Minnesota's Biggest Environmental Investment.  </w:t>
            </w:r>
            <w:r w:rsidRPr="00723AA6">
              <w:rPr>
                <w:rFonts w:cstheme="minorHAnsi"/>
              </w:rPr>
              <w:t>We both believe there could be great synergy between this effort and any complementary effort the LCCMR may decide to undertake in the next years to share success stories and/or evaluate outcomes of ENRTF funding.</w:t>
            </w:r>
          </w:p>
          <w:p w14:paraId="00150DA0" w14:textId="77777777" w:rsidR="00794025" w:rsidRDefault="00794025" w:rsidP="00794025">
            <w:pPr>
              <w:rPr>
                <w:rFonts w:cstheme="minorHAnsi"/>
              </w:rPr>
            </w:pPr>
          </w:p>
          <w:p w14:paraId="61C1DB4E" w14:textId="4B0F3677" w:rsidR="002E3EB4" w:rsidRPr="009721AD" w:rsidRDefault="00E570E5" w:rsidP="00794025">
            <w:pPr>
              <w:rPr>
                <w:rFonts w:cstheme="minorHAnsi"/>
              </w:rPr>
            </w:pPr>
            <w:r w:rsidRPr="00723AA6">
              <w:rPr>
                <w:rFonts w:cstheme="minorHAnsi"/>
              </w:rPr>
              <w:t xml:space="preserve">Furthermore, there is mutual interest to have LCCMR provide some input about possible content into this SMM-led effort, if funded. This intent could easily be addressed in the work plan and captured by adding “in coordination with LCCMR” to any standard appropriation language for the project.  Given this, a contract or cooperative agreement </w:t>
            </w:r>
            <w:r w:rsidR="00C24F55" w:rsidRPr="00723AA6">
              <w:rPr>
                <w:rFonts w:cstheme="minorHAnsi"/>
              </w:rPr>
              <w:t>would not be needed to</w:t>
            </w:r>
            <w:r w:rsidRPr="00723AA6">
              <w:rPr>
                <w:rFonts w:cstheme="minorHAnsi"/>
              </w:rPr>
              <w:t xml:space="preserve"> fund this project</w:t>
            </w:r>
            <w:r w:rsidR="00C24F55" w:rsidRPr="00723AA6">
              <w:rPr>
                <w:rFonts w:cstheme="minorHAnsi"/>
              </w:rPr>
              <w:t xml:space="preserve"> and we could instead use our traditional appropriation methods.</w:t>
            </w:r>
            <w:r w:rsidR="0047177F">
              <w:rPr>
                <w:rFonts w:cstheme="minorHAnsi"/>
              </w:rPr>
              <w:t xml:space="preserve"> </w:t>
            </w:r>
          </w:p>
        </w:tc>
      </w:tr>
      <w:tr w:rsidR="00C97A2F" w:rsidRPr="00723AA6" w14:paraId="4D9A07D2" w14:textId="77777777" w:rsidTr="00794025">
        <w:tc>
          <w:tcPr>
            <w:tcW w:w="3685" w:type="dxa"/>
          </w:tcPr>
          <w:p w14:paraId="4BF18ED9" w14:textId="77777777" w:rsidR="00C97A2F" w:rsidRPr="00723AA6" w:rsidRDefault="00C97A2F" w:rsidP="00C97A2F">
            <w:pPr>
              <w:rPr>
                <w:rFonts w:cstheme="minorHAnsi"/>
              </w:rPr>
            </w:pPr>
            <w:r w:rsidRPr="00723AA6">
              <w:rPr>
                <w:rFonts w:cstheme="minorHAnsi"/>
              </w:rPr>
              <w:t>2022-185: Protecting Minnesota's Spruce-Fir Forests from Tree-Killing Budworm</w:t>
            </w:r>
          </w:p>
          <w:p w14:paraId="0D01E9A9" w14:textId="77777777" w:rsidR="00C97A2F" w:rsidRPr="00723AA6" w:rsidRDefault="00C97A2F" w:rsidP="00E570E5">
            <w:pPr>
              <w:rPr>
                <w:rFonts w:cstheme="minorHAnsi"/>
              </w:rPr>
            </w:pPr>
          </w:p>
        </w:tc>
        <w:tc>
          <w:tcPr>
            <w:tcW w:w="3060" w:type="dxa"/>
          </w:tcPr>
          <w:p w14:paraId="1D6DAF2B" w14:textId="469DB3B0" w:rsidR="00C97A2F" w:rsidRPr="00723AA6" w:rsidRDefault="00C97A2F" w:rsidP="005A1DA9">
            <w:pPr>
              <w:rPr>
                <w:rFonts w:cstheme="minorHAnsi"/>
              </w:rPr>
            </w:pPr>
            <w:r w:rsidRPr="00723AA6">
              <w:rPr>
                <w:rFonts w:cstheme="minorHAnsi"/>
              </w:rPr>
              <w:t xml:space="preserve">Why does MITPPC not </w:t>
            </w:r>
            <w:r w:rsidR="005A1DA9" w:rsidRPr="00723AA6">
              <w:rPr>
                <w:rFonts w:cstheme="minorHAnsi"/>
              </w:rPr>
              <w:t xml:space="preserve">address </w:t>
            </w:r>
            <w:r w:rsidRPr="00723AA6">
              <w:rPr>
                <w:rFonts w:cstheme="minorHAnsi"/>
              </w:rPr>
              <w:t xml:space="preserve">native pest species? </w:t>
            </w:r>
            <w:r w:rsidR="00FA41C9" w:rsidRPr="00FA41C9">
              <w:rPr>
                <w:rFonts w:cstheme="minorHAnsi"/>
              </w:rPr>
              <w:t>What is MITPPC’s enabling legislation?</w:t>
            </w:r>
          </w:p>
        </w:tc>
        <w:tc>
          <w:tcPr>
            <w:tcW w:w="7380" w:type="dxa"/>
          </w:tcPr>
          <w:p w14:paraId="25F271C5" w14:textId="0727332F" w:rsidR="00FA41C9" w:rsidRPr="00FA41C9" w:rsidRDefault="00FA41C9" w:rsidP="00FA41C9">
            <w:pPr>
              <w:rPr>
                <w:rFonts w:cstheme="minorHAnsi"/>
                <w:bCs/>
              </w:rPr>
            </w:pPr>
            <w:r w:rsidRPr="00FA41C9">
              <w:rPr>
                <w:rFonts w:cstheme="minorHAnsi"/>
                <w:bCs/>
              </w:rPr>
              <w:t>The enabling legislation for the Minnesota Invasive Plants and Pests Center (MITPPC) (</w:t>
            </w:r>
            <w:hyperlink r:id="rId12" w:history="1">
              <w:r w:rsidR="00F17835">
                <w:rPr>
                  <w:rStyle w:val="Hyperlink"/>
                </w:rPr>
                <w:t>ML 2014, Ch. 312, Art. 13, Sec. 44. INVASIVE TERRESTRIAL PLANTS AND PESTS CENTER</w:t>
              </w:r>
            </w:hyperlink>
            <w:r w:rsidRPr="00FA41C9">
              <w:rPr>
                <w:rFonts w:cstheme="minorHAnsi"/>
                <w:bCs/>
              </w:rPr>
              <w:t xml:space="preserve">) directs MITPPC to “research… terrestrial invasive plants, pathogens, and pests, including agricultural weeds and pests."  </w:t>
            </w:r>
          </w:p>
          <w:p w14:paraId="61035720" w14:textId="77777777" w:rsidR="00FA41C9" w:rsidRPr="00FA41C9" w:rsidRDefault="00FA41C9" w:rsidP="00FA41C9">
            <w:pPr>
              <w:rPr>
                <w:rFonts w:cstheme="minorHAnsi"/>
                <w:bCs/>
              </w:rPr>
            </w:pPr>
          </w:p>
          <w:p w14:paraId="5832482E" w14:textId="73ACD3BD" w:rsidR="00FA41C9" w:rsidRPr="00FA41C9" w:rsidRDefault="00FA41C9" w:rsidP="00FA41C9">
            <w:pPr>
              <w:rPr>
                <w:rFonts w:cstheme="minorHAnsi"/>
                <w:bCs/>
              </w:rPr>
            </w:pPr>
            <w:r w:rsidRPr="00FA41C9">
              <w:rPr>
                <w:rFonts w:cstheme="minorHAnsi"/>
                <w:bCs/>
              </w:rPr>
              <w:t xml:space="preserve">Minnesota Statute </w:t>
            </w:r>
            <w:hyperlink r:id="rId13" w:anchor="stat.18.77.17" w:history="1">
              <w:r w:rsidR="00F17835">
                <w:rPr>
                  <w:rStyle w:val="Hyperlink"/>
                </w:rPr>
                <w:t>Ch. 18, Sec. 18.77, Subd. 17 Invasive plant</w:t>
              </w:r>
            </w:hyperlink>
            <w:r w:rsidR="00F17835">
              <w:t>:  </w:t>
            </w:r>
            <w:r w:rsidRPr="00FA41C9">
              <w:rPr>
                <w:rFonts w:cstheme="minorHAnsi"/>
                <w:bCs/>
              </w:rPr>
              <w:t xml:space="preserve">Defines "Invasive plant" as a nonnative species whose introduction and establishment causes, or may cause, economic or environmental harm or harm to human health </w:t>
            </w:r>
          </w:p>
          <w:p w14:paraId="1C07F996" w14:textId="77777777" w:rsidR="00FA41C9" w:rsidRPr="00FA41C9" w:rsidRDefault="00FA41C9" w:rsidP="00FA41C9">
            <w:pPr>
              <w:rPr>
                <w:rFonts w:cstheme="minorHAnsi"/>
                <w:bCs/>
              </w:rPr>
            </w:pPr>
          </w:p>
          <w:p w14:paraId="78FEA00B" w14:textId="457E3B94" w:rsidR="00FA41C9" w:rsidRDefault="00FA41C9" w:rsidP="00FA41C9">
            <w:pPr>
              <w:rPr>
                <w:rFonts w:cstheme="minorHAnsi"/>
                <w:bCs/>
              </w:rPr>
            </w:pPr>
            <w:r w:rsidRPr="00FA41C9">
              <w:rPr>
                <w:rFonts w:cstheme="minorHAnsi"/>
                <w:bCs/>
              </w:rPr>
              <w:t xml:space="preserve">LCCMR's </w:t>
            </w:r>
            <w:hyperlink r:id="rId14" w:history="1">
              <w:r w:rsidR="00F17835">
                <w:rPr>
                  <w:rStyle w:val="Hyperlink"/>
                </w:rPr>
                <w:t>2022 Request for Proposal</w:t>
              </w:r>
            </w:hyperlink>
            <w:r w:rsidR="00F17835">
              <w:t>,</w:t>
            </w:r>
            <w:r w:rsidRPr="00FA41C9">
              <w:rPr>
                <w:rFonts w:cstheme="minorHAnsi"/>
                <w:bCs/>
              </w:rPr>
              <w:t xml:space="preserve"> p.4</w:t>
            </w:r>
            <w:r w:rsidR="00F17835">
              <w:rPr>
                <w:rFonts w:cstheme="minorHAnsi"/>
                <w:bCs/>
              </w:rPr>
              <w:t>,</w:t>
            </w:r>
            <w:r w:rsidRPr="00FA41C9">
              <w:rPr>
                <w:rFonts w:cstheme="minorHAnsi"/>
                <w:bCs/>
              </w:rPr>
              <w:t xml:space="preserve"> includes the following definition: "'Invasive species includes any plants, animals, worms, insects, microbes, and diseases that are non-native, introduced species in the state and that are currently having, or pose a threat to have, significant adverse impacts on Minnesota’s native ecosystems and biodiversity" </w:t>
            </w:r>
          </w:p>
          <w:p w14:paraId="2195E981" w14:textId="77777777" w:rsidR="00F17835" w:rsidRDefault="00F17835" w:rsidP="00F17835">
            <w:pPr>
              <w:shd w:val="clear" w:color="auto" w:fill="FFFFFF"/>
              <w:rPr>
                <w:rFonts w:cstheme="minorHAnsi"/>
                <w:i/>
                <w:color w:val="000000"/>
                <w:sz w:val="20"/>
                <w:szCs w:val="20"/>
              </w:rPr>
            </w:pPr>
          </w:p>
          <w:p w14:paraId="1ACF844B" w14:textId="723976F7" w:rsidR="00F17835" w:rsidRPr="00723AA6" w:rsidRDefault="00F17835" w:rsidP="00F17835">
            <w:pPr>
              <w:shd w:val="clear" w:color="auto" w:fill="FFFFFF"/>
              <w:rPr>
                <w:rFonts w:cstheme="minorHAnsi"/>
                <w:sz w:val="21"/>
                <w:szCs w:val="21"/>
              </w:rPr>
            </w:pPr>
            <w:r w:rsidRPr="003E6EA6">
              <w:rPr>
                <w:rFonts w:cstheme="minorHAnsi"/>
                <w:i/>
                <w:color w:val="000000"/>
                <w:sz w:val="20"/>
                <w:szCs w:val="20"/>
              </w:rPr>
              <w:t xml:space="preserve">(continued </w:t>
            </w:r>
            <w:r>
              <w:rPr>
                <w:rFonts w:cstheme="minorHAnsi"/>
                <w:i/>
                <w:color w:val="000000"/>
                <w:sz w:val="20"/>
                <w:szCs w:val="20"/>
              </w:rPr>
              <w:t xml:space="preserve">on </w:t>
            </w:r>
            <w:r w:rsidRPr="003E6EA6">
              <w:rPr>
                <w:rFonts w:cstheme="minorHAnsi"/>
                <w:i/>
                <w:color w:val="000000"/>
                <w:sz w:val="20"/>
                <w:szCs w:val="20"/>
              </w:rPr>
              <w:t>next page) </w:t>
            </w:r>
          </w:p>
          <w:p w14:paraId="5B4EBACF" w14:textId="77777777" w:rsidR="00FA41C9" w:rsidRPr="00FA41C9" w:rsidRDefault="00FA41C9" w:rsidP="00FA41C9">
            <w:pPr>
              <w:rPr>
                <w:rFonts w:cstheme="minorHAnsi"/>
                <w:bCs/>
              </w:rPr>
            </w:pPr>
          </w:p>
          <w:p w14:paraId="08415657" w14:textId="6170D627" w:rsidR="0047177F" w:rsidRPr="00FA41C9" w:rsidRDefault="00FA41C9" w:rsidP="00FA41C9">
            <w:pPr>
              <w:rPr>
                <w:rFonts w:cstheme="minorHAnsi"/>
                <w:bCs/>
              </w:rPr>
            </w:pPr>
            <w:r w:rsidRPr="00FA41C9">
              <w:rPr>
                <w:rFonts w:cstheme="minorHAnsi"/>
                <w:b/>
              </w:rPr>
              <w:t>Dr. Robert Venette, Director of MITPPC</w:t>
            </w:r>
            <w:r w:rsidRPr="00FA41C9">
              <w:rPr>
                <w:rFonts w:cstheme="minorHAnsi"/>
                <w:bCs/>
              </w:rPr>
              <w:t xml:space="preserve"> cited the sources of information above as providing his understanding that it would be beyond the intended scope of the Center and funding for MITPPC to study native pests.</w:t>
            </w:r>
          </w:p>
        </w:tc>
      </w:tr>
      <w:tr w:rsidR="00A32802" w:rsidRPr="00723AA6" w14:paraId="23AA5938" w14:textId="77777777" w:rsidTr="00794025">
        <w:tc>
          <w:tcPr>
            <w:tcW w:w="3685" w:type="dxa"/>
          </w:tcPr>
          <w:p w14:paraId="7F71B655" w14:textId="4FF7790F" w:rsidR="00A32802" w:rsidRPr="00723AA6" w:rsidRDefault="00DD6282" w:rsidP="00C97A2F">
            <w:pPr>
              <w:rPr>
                <w:rFonts w:cstheme="minorHAnsi"/>
              </w:rPr>
            </w:pPr>
            <w:r w:rsidRPr="00723AA6">
              <w:rPr>
                <w:rFonts w:cstheme="minorHAnsi"/>
              </w:rPr>
              <w:lastRenderedPageBreak/>
              <w:t xml:space="preserve">In general, for lands acquired with ENRTF funding. </w:t>
            </w:r>
          </w:p>
        </w:tc>
        <w:tc>
          <w:tcPr>
            <w:tcW w:w="3060" w:type="dxa"/>
          </w:tcPr>
          <w:p w14:paraId="69C926CD" w14:textId="5E5252DB" w:rsidR="00A32802" w:rsidRPr="00723AA6" w:rsidRDefault="00A32802" w:rsidP="005A1DA9">
            <w:pPr>
              <w:rPr>
                <w:rFonts w:cstheme="minorHAnsi"/>
              </w:rPr>
            </w:pPr>
            <w:r w:rsidRPr="00723AA6">
              <w:rPr>
                <w:rFonts w:cstheme="minorHAnsi"/>
              </w:rPr>
              <w:t>Would haying or grazing be allowed on conservation lands acquired with ENRTF Funds?</w:t>
            </w:r>
          </w:p>
          <w:p w14:paraId="4974AB5C" w14:textId="6DE64B71" w:rsidR="00A32802" w:rsidRPr="00723AA6" w:rsidRDefault="00A32802" w:rsidP="005A1DA9">
            <w:pPr>
              <w:rPr>
                <w:rFonts w:cstheme="minorHAnsi"/>
              </w:rPr>
            </w:pPr>
          </w:p>
          <w:p w14:paraId="486CE499" w14:textId="64E2707F" w:rsidR="00A32802" w:rsidRPr="00723AA6" w:rsidRDefault="00A32802" w:rsidP="005A1DA9">
            <w:pPr>
              <w:rPr>
                <w:rFonts w:cstheme="minorHAnsi"/>
              </w:rPr>
            </w:pPr>
          </w:p>
        </w:tc>
        <w:tc>
          <w:tcPr>
            <w:tcW w:w="7380" w:type="dxa"/>
          </w:tcPr>
          <w:p w14:paraId="148A9607" w14:textId="56859804" w:rsidR="00A32802" w:rsidRPr="00723AA6" w:rsidRDefault="00DD6282" w:rsidP="00C97A2F">
            <w:pPr>
              <w:rPr>
                <w:rFonts w:cstheme="minorHAnsi"/>
                <w:bCs/>
              </w:rPr>
            </w:pPr>
            <w:r w:rsidRPr="00723AA6">
              <w:rPr>
                <w:rFonts w:cstheme="minorHAnsi"/>
                <w:bCs/>
              </w:rPr>
              <w:t>If</w:t>
            </w:r>
            <w:r w:rsidR="00A32802" w:rsidRPr="00723AA6">
              <w:rPr>
                <w:rFonts w:cstheme="minorHAnsi"/>
                <w:bCs/>
              </w:rPr>
              <w:t xml:space="preserve"> the specified intent of the funding as stated in the work plan, appropriation language, and or/conservation easement document </w:t>
            </w:r>
            <w:r w:rsidRPr="00723AA6">
              <w:rPr>
                <w:rFonts w:cstheme="minorHAnsi"/>
                <w:bCs/>
              </w:rPr>
              <w:t xml:space="preserve">does not include </w:t>
            </w:r>
            <w:r w:rsidR="00A32802" w:rsidRPr="00723AA6">
              <w:rPr>
                <w:rFonts w:cstheme="minorHAnsi"/>
                <w:bCs/>
              </w:rPr>
              <w:t xml:space="preserve">haying and grazing, then this would be considered a change in </w:t>
            </w:r>
            <w:r w:rsidR="0006011D" w:rsidRPr="00723AA6">
              <w:rPr>
                <w:rFonts w:cstheme="minorHAnsi"/>
                <w:bCs/>
              </w:rPr>
              <w:t xml:space="preserve">intended use covered by statute </w:t>
            </w:r>
            <w:hyperlink r:id="rId15" w:history="1">
              <w:r w:rsidR="0006011D" w:rsidRPr="00723AA6">
                <w:rPr>
                  <w:rStyle w:val="Hyperlink"/>
                  <w:rFonts w:cstheme="minorHAnsi"/>
                  <w:bCs/>
                </w:rPr>
                <w:t>M.S. 116.15</w:t>
              </w:r>
              <w:r w:rsidRPr="00723AA6">
                <w:rPr>
                  <w:rStyle w:val="Hyperlink"/>
                  <w:rFonts w:cstheme="minorHAnsi"/>
                  <w:bCs/>
                </w:rPr>
                <w:t>P LAND ACQUISITION; RESTRICTIONS</w:t>
              </w:r>
            </w:hyperlink>
            <w:r w:rsidRPr="00723AA6">
              <w:rPr>
                <w:rFonts w:cstheme="minorHAnsi"/>
                <w:bCs/>
              </w:rPr>
              <w:t>. In particular, Subd. 2b requires that “A recipient of funding who acquires an interest in real property subject to this section may not alter the intended use of the interest in real property or convey any interest in the real property acquired with the appropriation without the prior review and approval of the commission or its successor.”</w:t>
            </w:r>
          </w:p>
        </w:tc>
      </w:tr>
      <w:tr w:rsidR="00DD6282" w:rsidRPr="00723AA6" w14:paraId="318B0F79" w14:textId="77777777" w:rsidTr="00794025">
        <w:tc>
          <w:tcPr>
            <w:tcW w:w="3685" w:type="dxa"/>
          </w:tcPr>
          <w:p w14:paraId="349A318F" w14:textId="3385B34F" w:rsidR="00DD6282" w:rsidRPr="00723AA6" w:rsidRDefault="00DD6282" w:rsidP="00C97A2F">
            <w:pPr>
              <w:rPr>
                <w:rFonts w:cstheme="minorHAnsi"/>
              </w:rPr>
            </w:pPr>
            <w:r w:rsidRPr="00723AA6">
              <w:rPr>
                <w:rFonts w:cstheme="minorHAnsi"/>
              </w:rPr>
              <w:t>In general, for lands acquired with ENRTF funding.</w:t>
            </w:r>
          </w:p>
        </w:tc>
        <w:tc>
          <w:tcPr>
            <w:tcW w:w="3060" w:type="dxa"/>
          </w:tcPr>
          <w:p w14:paraId="1A6C0B33" w14:textId="3DC54403" w:rsidR="00DD6282" w:rsidRPr="00723AA6" w:rsidRDefault="00DD6282" w:rsidP="005A1DA9">
            <w:pPr>
              <w:rPr>
                <w:rFonts w:cstheme="minorHAnsi"/>
              </w:rPr>
            </w:pPr>
            <w:r w:rsidRPr="00723AA6">
              <w:rPr>
                <w:rFonts w:cstheme="minorHAnsi"/>
              </w:rPr>
              <w:t>If haying is allowed on lands acquired with ENRTF, would the entity be able to collect revenue from its sale?</w:t>
            </w:r>
          </w:p>
        </w:tc>
        <w:tc>
          <w:tcPr>
            <w:tcW w:w="7380" w:type="dxa"/>
          </w:tcPr>
          <w:p w14:paraId="3DF66B9C" w14:textId="77C58A27" w:rsidR="00DD6282" w:rsidRPr="00723AA6" w:rsidRDefault="00DD6282" w:rsidP="00C97A2F">
            <w:pPr>
              <w:rPr>
                <w:rFonts w:cstheme="minorHAnsi"/>
                <w:bCs/>
              </w:rPr>
            </w:pPr>
            <w:r w:rsidRPr="00723AA6">
              <w:rPr>
                <w:rFonts w:cstheme="minorHAnsi"/>
                <w:bCs/>
              </w:rPr>
              <w:t xml:space="preserve">If haying were allowed on the property and the hay were sold, this would be subject by statute </w:t>
            </w:r>
            <w:hyperlink r:id="rId16" w:history="1">
              <w:r w:rsidRPr="00723AA6">
                <w:rPr>
                  <w:rStyle w:val="Hyperlink"/>
                  <w:rFonts w:cstheme="minorHAnsi"/>
                  <w:bCs/>
                </w:rPr>
                <w:t>M.S. 116P.10 ROYALTIES, COPYRIGHTS, PATENTS, AND SALE OF PRODUCTS AND ASSETS</w:t>
              </w:r>
            </w:hyperlink>
            <w:r w:rsidRPr="00723AA6">
              <w:rPr>
                <w:rFonts w:cstheme="minorHAnsi"/>
                <w:bCs/>
              </w:rPr>
              <w:t>. In particular, paragraph (c) specifies that “If a project supported by the fund results in net income from the sale of products or assets developed or acquired by an appropriation from the fund, the appropriation must be repaid to the fund in an amount equal to the percentage of the project's total funding provided by the fund</w:t>
            </w:r>
            <w:r w:rsidR="003C0107" w:rsidRPr="00723AA6">
              <w:rPr>
                <w:rFonts w:cstheme="minorHAnsi"/>
                <w:bCs/>
              </w:rPr>
              <w:t>.”</w:t>
            </w:r>
          </w:p>
        </w:tc>
      </w:tr>
      <w:tr w:rsidR="009C116C" w:rsidRPr="00723AA6" w14:paraId="2D826AA6" w14:textId="77777777" w:rsidTr="00794025">
        <w:tc>
          <w:tcPr>
            <w:tcW w:w="3685" w:type="dxa"/>
          </w:tcPr>
          <w:p w14:paraId="63D3F9B3" w14:textId="4A14BBAA" w:rsidR="009C116C" w:rsidRPr="00723AA6" w:rsidRDefault="00723AA6" w:rsidP="007D5213">
            <w:pPr>
              <w:rPr>
                <w:rFonts w:cstheme="minorHAnsi"/>
              </w:rPr>
            </w:pPr>
            <w:r>
              <w:rPr>
                <w:rFonts w:cstheme="minorHAnsi"/>
              </w:rPr>
              <w:t xml:space="preserve">In general, </w:t>
            </w:r>
            <w:r w:rsidR="007D5213">
              <w:rPr>
                <w:rFonts w:cstheme="minorHAnsi"/>
              </w:rPr>
              <w:t>LCCMR support of university-based research centers</w:t>
            </w:r>
          </w:p>
        </w:tc>
        <w:tc>
          <w:tcPr>
            <w:tcW w:w="3060" w:type="dxa"/>
          </w:tcPr>
          <w:p w14:paraId="561F43CF" w14:textId="720F0D15" w:rsidR="009C116C" w:rsidRPr="00723AA6" w:rsidRDefault="009C116C" w:rsidP="005A1DA9">
            <w:pPr>
              <w:rPr>
                <w:rFonts w:cstheme="minorHAnsi"/>
              </w:rPr>
            </w:pPr>
            <w:r w:rsidRPr="00723AA6">
              <w:rPr>
                <w:rFonts w:cstheme="minorHAnsi"/>
              </w:rPr>
              <w:t>Can funds be appropriat</w:t>
            </w:r>
            <w:r w:rsidR="00442AA4">
              <w:rPr>
                <w:rFonts w:cstheme="minorHAnsi"/>
              </w:rPr>
              <w:t xml:space="preserve">ed </w:t>
            </w:r>
            <w:r w:rsidRPr="00723AA6">
              <w:rPr>
                <w:rFonts w:cstheme="minorHAnsi"/>
              </w:rPr>
              <w:t>for an endowment for tenure track faculty?</w:t>
            </w:r>
          </w:p>
        </w:tc>
        <w:tc>
          <w:tcPr>
            <w:tcW w:w="7380" w:type="dxa"/>
          </w:tcPr>
          <w:p w14:paraId="087938BD" w14:textId="0928883C" w:rsidR="00CA27CE" w:rsidRPr="00723AA6" w:rsidRDefault="009721AD" w:rsidP="00C97A2F">
            <w:pPr>
              <w:rPr>
                <w:rFonts w:cstheme="minorHAnsi"/>
                <w:bCs/>
              </w:rPr>
            </w:pPr>
            <w:r>
              <w:t xml:space="preserve">Our initial assessment is that this does not meet constitutional or statutory intent of the use of the ENRTF. Additional options </w:t>
            </w:r>
            <w:r w:rsidR="00442AA4">
              <w:t xml:space="preserve">may </w:t>
            </w:r>
            <w:r>
              <w:t>exist to leverage UMN dollars with ENRTF funds to attract new professor-level talent. Time/capacity limits us from doing more research on this at this time.</w:t>
            </w:r>
          </w:p>
        </w:tc>
      </w:tr>
    </w:tbl>
    <w:p w14:paraId="292AD051" w14:textId="77777777" w:rsidR="000C278D" w:rsidRPr="00723AA6" w:rsidRDefault="000C278D">
      <w:pPr>
        <w:rPr>
          <w:rFonts w:cstheme="minorHAnsi"/>
        </w:rPr>
      </w:pPr>
    </w:p>
    <w:sectPr w:rsidR="000C278D" w:rsidRPr="00723AA6" w:rsidSect="009721AD">
      <w:footerReference w:type="default" r:id="rId1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58E378E" w14:textId="77777777" w:rsidR="00C97A2F" w:rsidRDefault="00C97A2F" w:rsidP="00C97A2F">
      <w:pPr>
        <w:spacing w:after="0" w:line="240" w:lineRule="auto"/>
      </w:pPr>
      <w:r>
        <w:separator/>
      </w:r>
    </w:p>
  </w:endnote>
  <w:endnote w:type="continuationSeparator" w:id="0">
    <w:p w14:paraId="2AB8FE44" w14:textId="77777777" w:rsidR="00C97A2F" w:rsidRDefault="00C97A2F" w:rsidP="00C97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04637" w14:textId="0297309B" w:rsidR="00C97A2F" w:rsidRDefault="0047177F">
    <w:pPr>
      <w:pStyle w:val="Footer"/>
    </w:pPr>
    <w:r>
      <w:t>SOURCE: LCCMR staff</w:t>
    </w:r>
    <w:r>
      <w:ptab w:relativeTo="margin" w:alignment="center" w:leader="none"/>
    </w:r>
    <w:r w:rsidRPr="0047177F">
      <w:t xml:space="preserve">Page </w:t>
    </w:r>
    <w:r w:rsidRPr="0047177F">
      <w:rPr>
        <w:b/>
        <w:bCs/>
      </w:rPr>
      <w:fldChar w:fldCharType="begin"/>
    </w:r>
    <w:r w:rsidRPr="0047177F">
      <w:rPr>
        <w:b/>
        <w:bCs/>
      </w:rPr>
      <w:instrText xml:space="preserve"> PAGE  \* Arabic  \* MERGEFORMAT </w:instrText>
    </w:r>
    <w:r w:rsidRPr="0047177F">
      <w:rPr>
        <w:b/>
        <w:bCs/>
      </w:rPr>
      <w:fldChar w:fldCharType="separate"/>
    </w:r>
    <w:r w:rsidR="00D90267">
      <w:rPr>
        <w:b/>
        <w:bCs/>
        <w:noProof/>
      </w:rPr>
      <w:t>4</w:t>
    </w:r>
    <w:r w:rsidRPr="0047177F">
      <w:rPr>
        <w:b/>
        <w:bCs/>
      </w:rPr>
      <w:fldChar w:fldCharType="end"/>
    </w:r>
    <w:r w:rsidRPr="0047177F">
      <w:t xml:space="preserve"> of </w:t>
    </w:r>
    <w:r w:rsidRPr="0047177F">
      <w:rPr>
        <w:b/>
        <w:bCs/>
      </w:rPr>
      <w:fldChar w:fldCharType="begin"/>
    </w:r>
    <w:r w:rsidRPr="0047177F">
      <w:rPr>
        <w:b/>
        <w:bCs/>
      </w:rPr>
      <w:instrText xml:space="preserve"> NUMPAGES  \* Arabic  \* MERGEFORMAT </w:instrText>
    </w:r>
    <w:r w:rsidRPr="0047177F">
      <w:rPr>
        <w:b/>
        <w:bCs/>
      </w:rPr>
      <w:fldChar w:fldCharType="separate"/>
    </w:r>
    <w:r w:rsidR="00D90267">
      <w:rPr>
        <w:b/>
        <w:bCs/>
        <w:noProof/>
      </w:rPr>
      <w:t>4</w:t>
    </w:r>
    <w:r w:rsidRPr="0047177F">
      <w:rPr>
        <w:b/>
        <w:bCs/>
      </w:rPr>
      <w:fldChar w:fldCharType="end"/>
    </w:r>
    <w:r>
      <w:ptab w:relativeTo="margin" w:alignment="right" w:leader="none"/>
    </w:r>
    <w:r>
      <w:t>8/</w:t>
    </w:r>
    <w:r w:rsidR="00FA41C9">
      <w:t>4</w:t>
    </w:r>
    <w:r>
      <w:t>/21 1:</w:t>
    </w:r>
    <w:r w:rsidR="00FA41C9">
      <w:t>15</w:t>
    </w:r>
    <w:r>
      <w:t xml:space="preserve"> PM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682C6" w14:textId="77777777" w:rsidR="00C97A2F" w:rsidRDefault="00C97A2F" w:rsidP="00C97A2F">
      <w:pPr>
        <w:spacing w:after="0" w:line="240" w:lineRule="auto"/>
      </w:pPr>
      <w:r>
        <w:separator/>
      </w:r>
    </w:p>
  </w:footnote>
  <w:footnote w:type="continuationSeparator" w:id="0">
    <w:p w14:paraId="3AFEC292" w14:textId="77777777" w:rsidR="00C97A2F" w:rsidRDefault="00C97A2F" w:rsidP="00C97A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9A161A"/>
    <w:multiLevelType w:val="hybridMultilevel"/>
    <w:tmpl w:val="3FE6D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CD039D3"/>
    <w:multiLevelType w:val="hybridMultilevel"/>
    <w:tmpl w:val="3CDAE10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6A0"/>
    <w:rsid w:val="0006011D"/>
    <w:rsid w:val="000945E6"/>
    <w:rsid w:val="000C278D"/>
    <w:rsid w:val="00291FE9"/>
    <w:rsid w:val="002E3EB4"/>
    <w:rsid w:val="00377B73"/>
    <w:rsid w:val="003B3EFD"/>
    <w:rsid w:val="003C0107"/>
    <w:rsid w:val="003E6EA6"/>
    <w:rsid w:val="00442AA4"/>
    <w:rsid w:val="0047177F"/>
    <w:rsid w:val="004A3873"/>
    <w:rsid w:val="005147B0"/>
    <w:rsid w:val="00570D37"/>
    <w:rsid w:val="005A1DA9"/>
    <w:rsid w:val="006923F0"/>
    <w:rsid w:val="006F2395"/>
    <w:rsid w:val="00723AA6"/>
    <w:rsid w:val="00794025"/>
    <w:rsid w:val="007C56A0"/>
    <w:rsid w:val="007D5213"/>
    <w:rsid w:val="008C73DD"/>
    <w:rsid w:val="008E081E"/>
    <w:rsid w:val="009721AD"/>
    <w:rsid w:val="009A4E19"/>
    <w:rsid w:val="009C116C"/>
    <w:rsid w:val="00A32802"/>
    <w:rsid w:val="00BD5F98"/>
    <w:rsid w:val="00C24F55"/>
    <w:rsid w:val="00C97A2F"/>
    <w:rsid w:val="00CA27CE"/>
    <w:rsid w:val="00CC4ACA"/>
    <w:rsid w:val="00CF05F8"/>
    <w:rsid w:val="00D90267"/>
    <w:rsid w:val="00DD6282"/>
    <w:rsid w:val="00E13047"/>
    <w:rsid w:val="00E570E5"/>
    <w:rsid w:val="00EB5F7A"/>
    <w:rsid w:val="00F17835"/>
    <w:rsid w:val="00F648E8"/>
    <w:rsid w:val="00FA054D"/>
    <w:rsid w:val="00FA4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3C6085"/>
  <w15:chartTrackingRefBased/>
  <w15:docId w15:val="{EBA90584-2FAF-4697-994B-D4E77F24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56A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923F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C5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C56A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7C56A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7C56A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C56A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uiPriority w:val="10"/>
    <w:qFormat/>
    <w:rsid w:val="007C56A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56A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7C56A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6923F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E570E5"/>
    <w:pPr>
      <w:ind w:left="720"/>
      <w:contextualSpacing/>
    </w:pPr>
  </w:style>
  <w:style w:type="character" w:styleId="Hyperlink">
    <w:name w:val="Hyperlink"/>
    <w:basedOn w:val="DefaultParagraphFont"/>
    <w:uiPriority w:val="99"/>
    <w:unhideWhenUsed/>
    <w:rsid w:val="00E570E5"/>
    <w:rPr>
      <w:color w:val="0563C1"/>
      <w:u w:val="single"/>
    </w:rPr>
  </w:style>
  <w:style w:type="paragraph" w:styleId="Header">
    <w:name w:val="header"/>
    <w:basedOn w:val="Normal"/>
    <w:link w:val="HeaderChar"/>
    <w:uiPriority w:val="99"/>
    <w:unhideWhenUsed/>
    <w:rsid w:val="00C97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7A2F"/>
  </w:style>
  <w:style w:type="paragraph" w:styleId="Footer">
    <w:name w:val="footer"/>
    <w:basedOn w:val="Normal"/>
    <w:link w:val="FooterChar"/>
    <w:uiPriority w:val="99"/>
    <w:unhideWhenUsed/>
    <w:rsid w:val="00C97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7A2F"/>
  </w:style>
  <w:style w:type="character" w:styleId="CommentReference">
    <w:name w:val="annotation reference"/>
    <w:basedOn w:val="DefaultParagraphFont"/>
    <w:uiPriority w:val="99"/>
    <w:semiHidden/>
    <w:unhideWhenUsed/>
    <w:rsid w:val="00C24F55"/>
    <w:rPr>
      <w:sz w:val="16"/>
      <w:szCs w:val="16"/>
    </w:rPr>
  </w:style>
  <w:style w:type="paragraph" w:styleId="CommentText">
    <w:name w:val="annotation text"/>
    <w:basedOn w:val="Normal"/>
    <w:link w:val="CommentTextChar"/>
    <w:uiPriority w:val="99"/>
    <w:semiHidden/>
    <w:unhideWhenUsed/>
    <w:rsid w:val="00C24F55"/>
    <w:pPr>
      <w:spacing w:line="240" w:lineRule="auto"/>
    </w:pPr>
    <w:rPr>
      <w:sz w:val="20"/>
      <w:szCs w:val="20"/>
    </w:rPr>
  </w:style>
  <w:style w:type="character" w:customStyle="1" w:styleId="CommentTextChar">
    <w:name w:val="Comment Text Char"/>
    <w:basedOn w:val="DefaultParagraphFont"/>
    <w:link w:val="CommentText"/>
    <w:uiPriority w:val="99"/>
    <w:semiHidden/>
    <w:rsid w:val="00C24F55"/>
    <w:rPr>
      <w:sz w:val="20"/>
      <w:szCs w:val="20"/>
    </w:rPr>
  </w:style>
  <w:style w:type="paragraph" w:styleId="CommentSubject">
    <w:name w:val="annotation subject"/>
    <w:basedOn w:val="CommentText"/>
    <w:next w:val="CommentText"/>
    <w:link w:val="CommentSubjectChar"/>
    <w:uiPriority w:val="99"/>
    <w:semiHidden/>
    <w:unhideWhenUsed/>
    <w:rsid w:val="00C24F55"/>
    <w:rPr>
      <w:b/>
      <w:bCs/>
    </w:rPr>
  </w:style>
  <w:style w:type="character" w:customStyle="1" w:styleId="CommentSubjectChar">
    <w:name w:val="Comment Subject Char"/>
    <w:basedOn w:val="CommentTextChar"/>
    <w:link w:val="CommentSubject"/>
    <w:uiPriority w:val="99"/>
    <w:semiHidden/>
    <w:rsid w:val="00C24F55"/>
    <w:rPr>
      <w:b/>
      <w:bCs/>
      <w:sz w:val="20"/>
      <w:szCs w:val="20"/>
    </w:rPr>
  </w:style>
  <w:style w:type="character" w:styleId="FollowedHyperlink">
    <w:name w:val="FollowedHyperlink"/>
    <w:basedOn w:val="DefaultParagraphFont"/>
    <w:uiPriority w:val="99"/>
    <w:semiHidden/>
    <w:unhideWhenUsed/>
    <w:rsid w:val="00C24F55"/>
    <w:rPr>
      <w:color w:val="954F72" w:themeColor="followedHyperlink"/>
      <w:u w:val="single"/>
    </w:rPr>
  </w:style>
  <w:style w:type="character" w:customStyle="1" w:styleId="UnresolvedMention1">
    <w:name w:val="Unresolved Mention1"/>
    <w:basedOn w:val="DefaultParagraphFont"/>
    <w:uiPriority w:val="99"/>
    <w:semiHidden/>
    <w:unhideWhenUsed/>
    <w:rsid w:val="00A32802"/>
    <w:rPr>
      <w:color w:val="605E5C"/>
      <w:shd w:val="clear" w:color="auto" w:fill="E1DFDD"/>
    </w:rPr>
  </w:style>
  <w:style w:type="paragraph" w:styleId="BalloonText">
    <w:name w:val="Balloon Text"/>
    <w:basedOn w:val="Normal"/>
    <w:link w:val="BalloonTextChar"/>
    <w:uiPriority w:val="99"/>
    <w:semiHidden/>
    <w:unhideWhenUsed/>
    <w:rsid w:val="00E130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3047"/>
    <w:rPr>
      <w:rFonts w:ascii="Segoe UI" w:hAnsi="Segoe UI" w:cs="Segoe UI"/>
      <w:sz w:val="18"/>
      <w:szCs w:val="18"/>
    </w:rPr>
  </w:style>
  <w:style w:type="character" w:styleId="PlaceholderText">
    <w:name w:val="Placeholder Text"/>
    <w:basedOn w:val="DefaultParagraphFont"/>
    <w:uiPriority w:val="99"/>
    <w:semiHidden/>
    <w:rsid w:val="004A387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186917">
      <w:bodyDiv w:val="1"/>
      <w:marLeft w:val="0"/>
      <w:marRight w:val="0"/>
      <w:marTop w:val="0"/>
      <w:marBottom w:val="0"/>
      <w:divBdr>
        <w:top w:val="none" w:sz="0" w:space="0" w:color="auto"/>
        <w:left w:val="none" w:sz="0" w:space="0" w:color="auto"/>
        <w:bottom w:val="none" w:sz="0" w:space="0" w:color="auto"/>
        <w:right w:val="none" w:sz="0" w:space="0" w:color="auto"/>
      </w:divBdr>
    </w:div>
    <w:div w:id="122777124">
      <w:bodyDiv w:val="1"/>
      <w:marLeft w:val="0"/>
      <w:marRight w:val="0"/>
      <w:marTop w:val="0"/>
      <w:marBottom w:val="0"/>
      <w:divBdr>
        <w:top w:val="none" w:sz="0" w:space="0" w:color="auto"/>
        <w:left w:val="none" w:sz="0" w:space="0" w:color="auto"/>
        <w:bottom w:val="none" w:sz="0" w:space="0" w:color="auto"/>
        <w:right w:val="none" w:sz="0" w:space="0" w:color="auto"/>
      </w:divBdr>
    </w:div>
    <w:div w:id="188875531">
      <w:bodyDiv w:val="1"/>
      <w:marLeft w:val="0"/>
      <w:marRight w:val="0"/>
      <w:marTop w:val="0"/>
      <w:marBottom w:val="0"/>
      <w:divBdr>
        <w:top w:val="none" w:sz="0" w:space="0" w:color="auto"/>
        <w:left w:val="none" w:sz="0" w:space="0" w:color="auto"/>
        <w:bottom w:val="none" w:sz="0" w:space="0" w:color="auto"/>
        <w:right w:val="none" w:sz="0" w:space="0" w:color="auto"/>
      </w:divBdr>
    </w:div>
    <w:div w:id="203297411">
      <w:bodyDiv w:val="1"/>
      <w:marLeft w:val="0"/>
      <w:marRight w:val="0"/>
      <w:marTop w:val="0"/>
      <w:marBottom w:val="0"/>
      <w:divBdr>
        <w:top w:val="none" w:sz="0" w:space="0" w:color="auto"/>
        <w:left w:val="none" w:sz="0" w:space="0" w:color="auto"/>
        <w:bottom w:val="none" w:sz="0" w:space="0" w:color="auto"/>
        <w:right w:val="none" w:sz="0" w:space="0" w:color="auto"/>
      </w:divBdr>
    </w:div>
    <w:div w:id="653872113">
      <w:bodyDiv w:val="1"/>
      <w:marLeft w:val="0"/>
      <w:marRight w:val="0"/>
      <w:marTop w:val="0"/>
      <w:marBottom w:val="0"/>
      <w:divBdr>
        <w:top w:val="none" w:sz="0" w:space="0" w:color="auto"/>
        <w:left w:val="none" w:sz="0" w:space="0" w:color="auto"/>
        <w:bottom w:val="none" w:sz="0" w:space="0" w:color="auto"/>
        <w:right w:val="none" w:sz="0" w:space="0" w:color="auto"/>
      </w:divBdr>
    </w:div>
    <w:div w:id="759567982">
      <w:bodyDiv w:val="1"/>
      <w:marLeft w:val="0"/>
      <w:marRight w:val="0"/>
      <w:marTop w:val="0"/>
      <w:marBottom w:val="0"/>
      <w:divBdr>
        <w:top w:val="none" w:sz="0" w:space="0" w:color="auto"/>
        <w:left w:val="none" w:sz="0" w:space="0" w:color="auto"/>
        <w:bottom w:val="none" w:sz="0" w:space="0" w:color="auto"/>
        <w:right w:val="none" w:sz="0" w:space="0" w:color="auto"/>
      </w:divBdr>
    </w:div>
    <w:div w:id="845443089">
      <w:bodyDiv w:val="1"/>
      <w:marLeft w:val="0"/>
      <w:marRight w:val="0"/>
      <w:marTop w:val="0"/>
      <w:marBottom w:val="0"/>
      <w:divBdr>
        <w:top w:val="none" w:sz="0" w:space="0" w:color="auto"/>
        <w:left w:val="none" w:sz="0" w:space="0" w:color="auto"/>
        <w:bottom w:val="none" w:sz="0" w:space="0" w:color="auto"/>
        <w:right w:val="none" w:sz="0" w:space="0" w:color="auto"/>
      </w:divBdr>
    </w:div>
    <w:div w:id="1192260581">
      <w:bodyDiv w:val="1"/>
      <w:marLeft w:val="0"/>
      <w:marRight w:val="0"/>
      <w:marTop w:val="0"/>
      <w:marBottom w:val="0"/>
      <w:divBdr>
        <w:top w:val="none" w:sz="0" w:space="0" w:color="auto"/>
        <w:left w:val="none" w:sz="0" w:space="0" w:color="auto"/>
        <w:bottom w:val="none" w:sz="0" w:space="0" w:color="auto"/>
        <w:right w:val="none" w:sz="0" w:space="0" w:color="auto"/>
      </w:divBdr>
    </w:div>
    <w:div w:id="1239704531">
      <w:bodyDiv w:val="1"/>
      <w:marLeft w:val="0"/>
      <w:marRight w:val="0"/>
      <w:marTop w:val="0"/>
      <w:marBottom w:val="0"/>
      <w:divBdr>
        <w:top w:val="none" w:sz="0" w:space="0" w:color="auto"/>
        <w:left w:val="none" w:sz="0" w:space="0" w:color="auto"/>
        <w:bottom w:val="none" w:sz="0" w:space="0" w:color="auto"/>
        <w:right w:val="none" w:sz="0" w:space="0" w:color="auto"/>
      </w:divBdr>
    </w:div>
    <w:div w:id="1547326702">
      <w:bodyDiv w:val="1"/>
      <w:marLeft w:val="0"/>
      <w:marRight w:val="0"/>
      <w:marTop w:val="0"/>
      <w:marBottom w:val="0"/>
      <w:divBdr>
        <w:top w:val="none" w:sz="0" w:space="0" w:color="auto"/>
        <w:left w:val="none" w:sz="0" w:space="0" w:color="auto"/>
        <w:bottom w:val="none" w:sz="0" w:space="0" w:color="auto"/>
        <w:right w:val="none" w:sz="0" w:space="0" w:color="auto"/>
      </w:divBdr>
    </w:div>
    <w:div w:id="1570188632">
      <w:bodyDiv w:val="1"/>
      <w:marLeft w:val="0"/>
      <w:marRight w:val="0"/>
      <w:marTop w:val="0"/>
      <w:marBottom w:val="0"/>
      <w:divBdr>
        <w:top w:val="none" w:sz="0" w:space="0" w:color="auto"/>
        <w:left w:val="none" w:sz="0" w:space="0" w:color="auto"/>
        <w:bottom w:val="none" w:sz="0" w:space="0" w:color="auto"/>
        <w:right w:val="none" w:sz="0" w:space="0" w:color="auto"/>
      </w:divBdr>
    </w:div>
    <w:div w:id="1683898625">
      <w:bodyDiv w:val="1"/>
      <w:marLeft w:val="0"/>
      <w:marRight w:val="0"/>
      <w:marTop w:val="0"/>
      <w:marBottom w:val="0"/>
      <w:divBdr>
        <w:top w:val="none" w:sz="0" w:space="0" w:color="auto"/>
        <w:left w:val="none" w:sz="0" w:space="0" w:color="auto"/>
        <w:bottom w:val="none" w:sz="0" w:space="0" w:color="auto"/>
        <w:right w:val="none" w:sz="0" w:space="0" w:color="auto"/>
      </w:divBdr>
    </w:div>
    <w:div w:id="1899635000">
      <w:bodyDiv w:val="1"/>
      <w:marLeft w:val="0"/>
      <w:marRight w:val="0"/>
      <w:marTop w:val="0"/>
      <w:marBottom w:val="0"/>
      <w:divBdr>
        <w:top w:val="none" w:sz="0" w:space="0" w:color="auto"/>
        <w:left w:val="none" w:sz="0" w:space="0" w:color="auto"/>
        <w:bottom w:val="none" w:sz="0" w:space="0" w:color="auto"/>
        <w:right w:val="none" w:sz="0" w:space="0" w:color="auto"/>
      </w:divBdr>
    </w:div>
    <w:div w:id="1993211985">
      <w:bodyDiv w:val="1"/>
      <w:marLeft w:val="0"/>
      <w:marRight w:val="0"/>
      <w:marTop w:val="0"/>
      <w:marBottom w:val="0"/>
      <w:divBdr>
        <w:top w:val="none" w:sz="0" w:space="0" w:color="auto"/>
        <w:left w:val="none" w:sz="0" w:space="0" w:color="auto"/>
        <w:bottom w:val="none" w:sz="0" w:space="0" w:color="auto"/>
        <w:right w:val="none" w:sz="0" w:space="0" w:color="auto"/>
      </w:divBdr>
    </w:div>
    <w:div w:id="20473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visor.mn.gov/statutes/cite/115B.40" TargetMode="External"/><Relationship Id="rId13" Type="http://schemas.openxmlformats.org/officeDocument/2006/relationships/hyperlink" Target="https://www.revisor.mn.gov/statutes/cite/18.77"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visor.mn.gov/laws/2014/0/31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clayfield\AppData\Local\Microsoft\Windows\INetCache\Content.Outlook\U9CK3SXC\2022-111_enrtf_grant_attachment_e_land_acquisition_reporting_procedure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iles.dnr.state.mn.us/assistance/grants/passthrough/attachment-e-enrtf.pdf" TargetMode="External"/><Relationship Id="rId5" Type="http://schemas.openxmlformats.org/officeDocument/2006/relationships/webSettings" Target="webSettings.xml"/><Relationship Id="rId15" Type="http://schemas.openxmlformats.org/officeDocument/2006/relationships/hyperlink" Target="https://www.revisor.mn.gov/statutes/cite/116P.15" TargetMode="External"/><Relationship Id="rId10" Type="http://schemas.openxmlformats.org/officeDocument/2006/relationships/hyperlink" Target="https://www.revisor.mn.gov/statutes/cite/115B.2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revisor.mn.gov/statutes/cite/115B.01" TargetMode="External"/><Relationship Id="rId14" Type="http://schemas.openxmlformats.org/officeDocument/2006/relationships/hyperlink" Target="https://www.lccmr.leg.mn/proposals/2022/2022_lccmr_rf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2B781-023E-487B-A0B2-838544D3A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LCCMR</dc:creator>
  <cp:keywords/>
  <dc:description/>
  <cp:lastModifiedBy>Becca Nash</cp:lastModifiedBy>
  <cp:revision>7</cp:revision>
  <dcterms:created xsi:type="dcterms:W3CDTF">2021-08-03T18:09:00Z</dcterms:created>
  <dcterms:modified xsi:type="dcterms:W3CDTF">2021-08-04T18:14:00Z</dcterms:modified>
</cp:coreProperties>
</file>